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AE4" w:rsidRDefault="004B4AE4" w:rsidP="006419BC">
      <w:pPr>
        <w:spacing w:line="240" w:lineRule="atLeast"/>
        <w:rPr>
          <w:rFonts w:ascii="Arial" w:hAnsi="Arial" w:cs="Arial"/>
          <w:color w:val="7F7F7F" w:themeColor="text1" w:themeTint="80"/>
          <w:sz w:val="24"/>
          <w:szCs w:val="24"/>
        </w:rPr>
      </w:pPr>
      <w:bookmarkStart w:id="0" w:name="_GoBack"/>
      <w:bookmarkEnd w:id="0"/>
    </w:p>
    <w:p w:rsidR="008E283E" w:rsidRPr="00B46880" w:rsidRDefault="008E283E" w:rsidP="008E283E">
      <w:pPr>
        <w:pBdr>
          <w:top w:val="single" w:sz="24" w:space="1" w:color="072B62" w:themeColor="background2" w:themeShade="40"/>
          <w:bottom w:val="single" w:sz="24" w:space="1" w:color="072B62" w:themeColor="background2" w:themeShade="40"/>
        </w:pBdr>
        <w:spacing w:after="0" w:line="240" w:lineRule="auto"/>
        <w:jc w:val="center"/>
        <w:rPr>
          <w:rFonts w:ascii="Trebuchet MS" w:hAnsi="Trebuchet MS" w:cs="Times New Roman"/>
          <w:b/>
          <w:color w:val="253356" w:themeColor="accent1" w:themeShade="80"/>
          <w:sz w:val="52"/>
          <w:szCs w:val="24"/>
        </w:rPr>
      </w:pPr>
      <w:r w:rsidRPr="00666362">
        <w:rPr>
          <w:rFonts w:ascii="Trebuchet MS" w:hAnsi="Trebuchet MS" w:cs="Times New Roman"/>
          <w:b/>
          <w:color w:val="253356" w:themeColor="accent1" w:themeShade="80"/>
          <w:sz w:val="52"/>
          <w:szCs w:val="24"/>
        </w:rPr>
        <w:t>PREGUNTAS FRECUENTES</w:t>
      </w:r>
    </w:p>
    <w:p w:rsidR="008E283E" w:rsidRDefault="008E283E" w:rsidP="008E283E">
      <w:pPr>
        <w:spacing w:after="0" w:line="240" w:lineRule="auto"/>
        <w:jc w:val="center"/>
        <w:rPr>
          <w:rFonts w:ascii="Trebuchet MS" w:hAnsi="Trebuchet MS" w:cs="Times New Roman"/>
          <w:b/>
          <w:color w:val="253356" w:themeColor="accent1" w:themeShade="80"/>
          <w:sz w:val="28"/>
          <w:szCs w:val="24"/>
        </w:rPr>
      </w:pPr>
    </w:p>
    <w:p w:rsidR="008E283E" w:rsidRPr="00B46880" w:rsidRDefault="008E283E" w:rsidP="008E283E">
      <w:pPr>
        <w:spacing w:after="0" w:line="240" w:lineRule="auto"/>
        <w:jc w:val="center"/>
        <w:rPr>
          <w:rFonts w:ascii="Trebuchet MS" w:hAnsi="Trebuchet MS" w:cs="Times New Roman"/>
          <w:b/>
          <w:color w:val="253356" w:themeColor="accent1" w:themeShade="80"/>
          <w:sz w:val="28"/>
          <w:szCs w:val="24"/>
        </w:rPr>
      </w:pPr>
      <w:r w:rsidRPr="00B46880">
        <w:rPr>
          <w:rFonts w:ascii="Trebuchet MS" w:hAnsi="Trebuchet MS" w:cs="Times New Roman"/>
          <w:b/>
          <w:color w:val="253356" w:themeColor="accent1" w:themeShade="80"/>
          <w:sz w:val="28"/>
          <w:szCs w:val="24"/>
        </w:rPr>
        <w:t>LEY 1712 DE 2014</w:t>
      </w:r>
    </w:p>
    <w:p w:rsidR="008E283E" w:rsidRPr="00B46880" w:rsidRDefault="008E283E" w:rsidP="008E283E">
      <w:pPr>
        <w:spacing w:after="0" w:line="240" w:lineRule="auto"/>
        <w:jc w:val="center"/>
        <w:rPr>
          <w:rFonts w:ascii="Trebuchet MS" w:hAnsi="Trebuchet MS" w:cs="Times New Roman"/>
          <w:color w:val="253356" w:themeColor="accent1" w:themeShade="80"/>
          <w:sz w:val="24"/>
          <w:szCs w:val="24"/>
        </w:rPr>
      </w:pPr>
      <w:r w:rsidRPr="00B46880">
        <w:rPr>
          <w:rFonts w:ascii="Trebuchet MS" w:hAnsi="Trebuchet MS" w:cs="Times New Roman"/>
          <w:color w:val="253356" w:themeColor="accent1" w:themeShade="80"/>
          <w:sz w:val="24"/>
          <w:szCs w:val="24"/>
        </w:rPr>
        <w:t>Ley de Transparencia y del Derecho de Acceso a la Información pública</w:t>
      </w:r>
    </w:p>
    <w:p w:rsidR="008E283E" w:rsidRDefault="008E283E" w:rsidP="008E283E">
      <w:pPr>
        <w:spacing w:after="0" w:line="240" w:lineRule="auto"/>
        <w:rPr>
          <w:rFonts w:ascii="Trebuchet MS" w:hAnsi="Trebuchet MS" w:cs="Times New Roman"/>
          <w:color w:val="3476B1" w:themeColor="accent2" w:themeShade="BF"/>
          <w:sz w:val="24"/>
          <w:szCs w:val="24"/>
        </w:rPr>
      </w:pPr>
    </w:p>
    <w:p w:rsidR="008E283E" w:rsidRPr="00666362" w:rsidRDefault="008E283E" w:rsidP="008E283E">
      <w:pPr>
        <w:spacing w:after="0" w:line="240" w:lineRule="auto"/>
        <w:rPr>
          <w:rFonts w:ascii="Trebuchet MS" w:hAnsi="Trebuchet MS" w:cs="Times New Roman"/>
          <w:color w:val="3476B1" w:themeColor="accent2" w:themeShade="BF"/>
          <w:sz w:val="24"/>
          <w:szCs w:val="24"/>
        </w:rPr>
      </w:pPr>
    </w:p>
    <w:p w:rsidR="008E283E" w:rsidRPr="00666362" w:rsidRDefault="008E283E" w:rsidP="008E283E">
      <w:pPr>
        <w:autoSpaceDE w:val="0"/>
        <w:autoSpaceDN w:val="0"/>
        <w:adjustRightInd w:val="0"/>
        <w:spacing w:after="0" w:line="240" w:lineRule="auto"/>
        <w:jc w:val="both"/>
        <w:rPr>
          <w:rFonts w:cstheme="minorHAnsi"/>
          <w:szCs w:val="24"/>
        </w:rPr>
      </w:pPr>
      <w:r w:rsidRPr="00666362">
        <w:rPr>
          <w:rFonts w:cstheme="minorHAnsi"/>
          <w:szCs w:val="24"/>
        </w:rPr>
        <w:t xml:space="preserve">El Ministerio Público, en cabeza de la Procuraduría General de la Nación, velará por el cumplimiento de las obligaciones establecidas en la Ley de Transparencia y Derecho de Acceso a la Información Pública Nacional  y en ese sentido, en el marco de los oficios radicados al Grupo de Transparencia, Integridad y Cultura de lo público en la categoría de consultas y solicitudes de información, se recopilan las preguntas más recurrentes realizadas entre el segundo semestre de 2016 y en lo corrido del 2017. </w:t>
      </w:r>
    </w:p>
    <w:p w:rsidR="008E283E" w:rsidRPr="00666362" w:rsidRDefault="008E283E" w:rsidP="008E283E">
      <w:pPr>
        <w:autoSpaceDE w:val="0"/>
        <w:autoSpaceDN w:val="0"/>
        <w:adjustRightInd w:val="0"/>
        <w:spacing w:after="0" w:line="240" w:lineRule="auto"/>
        <w:jc w:val="both"/>
        <w:rPr>
          <w:rFonts w:cstheme="minorHAnsi"/>
          <w:szCs w:val="24"/>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8E283E" w:rsidRPr="00666362" w:rsidTr="0040266B">
        <w:tc>
          <w:tcPr>
            <w:tcW w:w="8828" w:type="dxa"/>
            <w:tcBorders>
              <w:top w:val="single" w:sz="12" w:space="0" w:color="072B62" w:themeColor="background2" w:themeShade="40"/>
              <w:bottom w:val="single" w:sz="12" w:space="0" w:color="072B62" w:themeColor="background2" w:themeShade="40"/>
            </w:tcBorders>
          </w:tcPr>
          <w:p w:rsidR="008E283E" w:rsidRPr="00666362" w:rsidRDefault="008E283E" w:rsidP="0040266B">
            <w:pPr>
              <w:autoSpaceDE w:val="0"/>
              <w:autoSpaceDN w:val="0"/>
              <w:adjustRightInd w:val="0"/>
              <w:jc w:val="both"/>
              <w:rPr>
                <w:rFonts w:ascii="Trebuchet MS" w:hAnsi="Trebuchet MS" w:cstheme="minorHAnsi"/>
                <w:b/>
                <w:color w:val="253356" w:themeColor="accent1" w:themeShade="80"/>
                <w:sz w:val="36"/>
                <w:szCs w:val="24"/>
              </w:rPr>
            </w:pPr>
            <w:r w:rsidRPr="00666362">
              <w:rPr>
                <w:rFonts w:ascii="Trebuchet MS" w:hAnsi="Trebuchet MS" w:cstheme="minorHAnsi"/>
                <w:b/>
                <w:color w:val="253356" w:themeColor="accent1" w:themeShade="80"/>
                <w:sz w:val="36"/>
                <w:szCs w:val="24"/>
              </w:rPr>
              <w:t>FORMULADA POR CIUDADANOS</w:t>
            </w:r>
          </w:p>
        </w:tc>
      </w:tr>
    </w:tbl>
    <w:p w:rsidR="008E283E" w:rsidRPr="00666362" w:rsidRDefault="008E283E" w:rsidP="008E283E">
      <w:pPr>
        <w:spacing w:after="0" w:line="240" w:lineRule="auto"/>
        <w:contextualSpacing/>
        <w:rPr>
          <w:rFonts w:cstheme="minorHAnsi"/>
          <w:b/>
          <w:szCs w:val="24"/>
        </w:rPr>
      </w:pPr>
    </w:p>
    <w:p w:rsidR="008E283E" w:rsidRPr="00666362" w:rsidRDefault="008E283E" w:rsidP="00765054">
      <w:pPr>
        <w:pStyle w:val="Prrafodelista"/>
        <w:numPr>
          <w:ilvl w:val="0"/>
          <w:numId w:val="18"/>
        </w:numPr>
        <w:spacing w:after="160"/>
        <w:ind w:left="709" w:hanging="709"/>
        <w:jc w:val="both"/>
        <w:rPr>
          <w:rFonts w:asciiTheme="minorHAnsi" w:hAnsiTheme="minorHAnsi" w:cstheme="minorHAnsi"/>
          <w:color w:val="3476B1" w:themeColor="accent2" w:themeShade="BF"/>
          <w:sz w:val="28"/>
        </w:rPr>
      </w:pPr>
      <w:r w:rsidRPr="00666362">
        <w:rPr>
          <w:rFonts w:asciiTheme="minorHAnsi" w:hAnsiTheme="minorHAnsi" w:cstheme="minorHAnsi"/>
          <w:b/>
          <w:i/>
          <w:color w:val="3476B1" w:themeColor="accent2" w:themeShade="BF"/>
          <w:sz w:val="28"/>
        </w:rPr>
        <w:t>¿Además de las entidades públicas de todos los órdenes y niveles, que otro tipo de sujetos obligados existen?</w:t>
      </w:r>
      <w:r w:rsidRPr="00666362">
        <w:rPr>
          <w:rFonts w:asciiTheme="minorHAnsi" w:hAnsiTheme="minorHAnsi" w:cstheme="minorHAnsi"/>
          <w:color w:val="3476B1" w:themeColor="accent2" w:themeShade="BF"/>
          <w:sz w:val="28"/>
        </w:rPr>
        <w:t xml:space="preserve"> </w:t>
      </w:r>
    </w:p>
    <w:p w:rsidR="008E283E" w:rsidRPr="00666362" w:rsidRDefault="008E283E" w:rsidP="00765054">
      <w:pPr>
        <w:spacing w:after="0" w:line="240" w:lineRule="auto"/>
        <w:ind w:left="709"/>
        <w:jc w:val="both"/>
        <w:rPr>
          <w:rFonts w:cstheme="minorHAnsi"/>
          <w:szCs w:val="24"/>
        </w:rPr>
      </w:pPr>
      <w:r w:rsidRPr="00666362">
        <w:rPr>
          <w:rFonts w:cstheme="minorHAnsi"/>
          <w:szCs w:val="24"/>
        </w:rPr>
        <w:t xml:space="preserve">Según el último censo de sujetos obligados desarrollado para la Secretaría de Transparencia de la Presidencia de la República, con cooperación de la Unión Europea a través del Programa ACTUE, Colombia cuenta con 68.788 sujetos obligados entre entidades públicas y organizaciones de carácter privado, denominados también como sujetos obligados </w:t>
      </w:r>
      <w:r w:rsidRPr="00666362">
        <w:rPr>
          <w:rFonts w:cstheme="minorHAnsi"/>
          <w:i/>
          <w:szCs w:val="24"/>
        </w:rPr>
        <w:t xml:space="preserve">“no tradicionales”, </w:t>
      </w:r>
      <w:r w:rsidRPr="00666362">
        <w:rPr>
          <w:rFonts w:cstheme="minorHAnsi"/>
          <w:szCs w:val="24"/>
        </w:rPr>
        <w:t xml:space="preserve"> los cuales corresponden al 55.60% (38.243) de este censo , que ejercen función pública, prestan servicio público, administran recursos públicos, y/o son partidos políticos o movimientos significativos de ciudadanos, y el 44.40% (30.545) restante corresponde a sujetos de naturaleza pública.</w:t>
      </w:r>
    </w:p>
    <w:p w:rsidR="008E283E" w:rsidRPr="00666362" w:rsidRDefault="008E283E" w:rsidP="008E283E">
      <w:pPr>
        <w:pStyle w:val="Prrafodelista"/>
        <w:ind w:left="284"/>
        <w:jc w:val="both"/>
        <w:rPr>
          <w:rFonts w:asciiTheme="minorHAnsi" w:hAnsiTheme="minorHAnsi" w:cstheme="minorHAnsi"/>
          <w:sz w:val="22"/>
        </w:rPr>
      </w:pPr>
    </w:p>
    <w:p w:rsidR="008E283E" w:rsidRPr="00666362" w:rsidRDefault="008E283E" w:rsidP="00765054">
      <w:pPr>
        <w:pStyle w:val="Prrafodelista"/>
        <w:numPr>
          <w:ilvl w:val="0"/>
          <w:numId w:val="18"/>
        </w:numPr>
        <w:spacing w:after="160" w:line="259" w:lineRule="auto"/>
        <w:ind w:left="709" w:hanging="709"/>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¿Existen excepciones de acceder al derecho fundamental de información pública? </w:t>
      </w:r>
    </w:p>
    <w:p w:rsidR="008E283E" w:rsidRPr="00666362" w:rsidRDefault="008E283E" w:rsidP="00765054">
      <w:pPr>
        <w:spacing w:after="0" w:line="240" w:lineRule="auto"/>
        <w:ind w:left="709"/>
        <w:jc w:val="both"/>
        <w:rPr>
          <w:rFonts w:cstheme="minorHAnsi"/>
          <w:szCs w:val="24"/>
        </w:rPr>
      </w:pPr>
      <w:r w:rsidRPr="00666362">
        <w:rPr>
          <w:rFonts w:cstheme="minorHAnsi"/>
          <w:szCs w:val="24"/>
        </w:rPr>
        <w:t>Sí, de conformidad con lo dispuesto en los artículos 18 y 19 de la Ley 1712 de 2014, hay excepciones a ese derecho cuando la misma esté considerada información clasificada o información reservada.</w:t>
      </w:r>
    </w:p>
    <w:p w:rsidR="008E283E" w:rsidRPr="00765054" w:rsidRDefault="008E283E" w:rsidP="00765054">
      <w:pPr>
        <w:pStyle w:val="Prrafodelista"/>
        <w:ind w:left="709"/>
        <w:jc w:val="both"/>
        <w:rPr>
          <w:rFonts w:asciiTheme="minorHAnsi" w:hAnsiTheme="minorHAnsi" w:cstheme="minorHAnsi"/>
          <w:sz w:val="22"/>
          <w:lang w:eastAsia="en-US"/>
        </w:rPr>
      </w:pPr>
    </w:p>
    <w:p w:rsidR="008E283E" w:rsidRPr="00666362" w:rsidRDefault="008E283E" w:rsidP="00765054">
      <w:pPr>
        <w:pStyle w:val="Prrafodelista"/>
        <w:numPr>
          <w:ilvl w:val="0"/>
          <w:numId w:val="18"/>
        </w:numPr>
        <w:spacing w:after="160" w:line="259" w:lineRule="auto"/>
        <w:ind w:left="709" w:hanging="709"/>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¿Cuál es la información pública clasificada? </w:t>
      </w:r>
    </w:p>
    <w:p w:rsidR="008E283E" w:rsidRPr="00666362" w:rsidRDefault="008E283E" w:rsidP="00765054">
      <w:pPr>
        <w:spacing w:after="0" w:line="240" w:lineRule="auto"/>
        <w:ind w:left="709"/>
        <w:jc w:val="both"/>
        <w:rPr>
          <w:rFonts w:cstheme="minorHAnsi"/>
          <w:szCs w:val="24"/>
        </w:rPr>
      </w:pPr>
      <w:r w:rsidRPr="00666362">
        <w:rPr>
          <w:rFonts w:cstheme="minorHAnsi"/>
          <w:szCs w:val="24"/>
        </w:rPr>
        <w:t>Es aquella que está relacionada con: El derecho a las personas a la Intimidad (</w:t>
      </w:r>
      <w:proofErr w:type="spellStart"/>
      <w:r w:rsidRPr="00666362">
        <w:rPr>
          <w:rFonts w:cstheme="minorHAnsi"/>
          <w:szCs w:val="24"/>
        </w:rPr>
        <w:t>habéas</w:t>
      </w:r>
      <w:proofErr w:type="spellEnd"/>
      <w:r w:rsidRPr="00666362">
        <w:rPr>
          <w:rFonts w:cstheme="minorHAnsi"/>
          <w:szCs w:val="24"/>
        </w:rPr>
        <w:t xml:space="preserve"> data o protección de datos personales), el derecho a la vida, salud o seguridad, los secretos comerciales, industriales y profesionales.</w:t>
      </w:r>
    </w:p>
    <w:p w:rsidR="008E283E" w:rsidRPr="00666362" w:rsidRDefault="008E283E" w:rsidP="008E283E">
      <w:pPr>
        <w:pStyle w:val="Prrafodelista"/>
        <w:ind w:left="284"/>
        <w:jc w:val="both"/>
        <w:rPr>
          <w:rFonts w:asciiTheme="minorHAnsi" w:hAnsiTheme="minorHAnsi" w:cstheme="minorHAnsi"/>
          <w:sz w:val="22"/>
        </w:rPr>
      </w:pPr>
    </w:p>
    <w:p w:rsidR="008E283E" w:rsidRPr="00666362" w:rsidRDefault="008E283E" w:rsidP="00765054">
      <w:pPr>
        <w:pStyle w:val="Prrafodelista"/>
        <w:numPr>
          <w:ilvl w:val="0"/>
          <w:numId w:val="18"/>
        </w:numPr>
        <w:spacing w:after="160" w:line="259" w:lineRule="auto"/>
        <w:ind w:left="567" w:hanging="567"/>
        <w:jc w:val="both"/>
        <w:rPr>
          <w:rFonts w:asciiTheme="minorHAnsi" w:hAnsiTheme="minorHAnsi" w:cstheme="minorHAnsi"/>
          <w:b/>
          <w:i/>
          <w:sz w:val="22"/>
        </w:rPr>
      </w:pPr>
      <w:r w:rsidRPr="00666362">
        <w:rPr>
          <w:rFonts w:asciiTheme="minorHAnsi" w:hAnsiTheme="minorHAnsi" w:cstheme="minorHAnsi"/>
          <w:b/>
          <w:i/>
          <w:color w:val="3476B1" w:themeColor="accent2" w:themeShade="BF"/>
          <w:sz w:val="28"/>
        </w:rPr>
        <w:t>¿Cuánto tiempo de reserva tiene la información clasificada y la información reservada?</w:t>
      </w:r>
    </w:p>
    <w:p w:rsidR="008E283E" w:rsidRPr="00666362" w:rsidRDefault="008E283E" w:rsidP="00765054">
      <w:pPr>
        <w:spacing w:after="0" w:line="240" w:lineRule="auto"/>
        <w:ind w:left="567"/>
        <w:jc w:val="both"/>
        <w:rPr>
          <w:rFonts w:cstheme="minorHAnsi"/>
          <w:szCs w:val="24"/>
        </w:rPr>
      </w:pPr>
      <w:r w:rsidRPr="00666362">
        <w:rPr>
          <w:rFonts w:cstheme="minorHAnsi"/>
          <w:szCs w:val="24"/>
        </w:rPr>
        <w:t>Para la información clasificada la excepción tiene una duración ilimitada y para la información reservada el término es de 15 años prorrogables.</w:t>
      </w:r>
    </w:p>
    <w:p w:rsidR="008E283E" w:rsidRPr="00666362" w:rsidRDefault="008E283E" w:rsidP="008E283E">
      <w:pPr>
        <w:spacing w:after="0" w:line="276" w:lineRule="auto"/>
        <w:jc w:val="both"/>
        <w:rPr>
          <w:rFonts w:cstheme="minorHAnsi"/>
          <w:szCs w:val="24"/>
        </w:rPr>
      </w:pPr>
    </w:p>
    <w:p w:rsidR="008E283E" w:rsidRPr="00666362" w:rsidRDefault="008E283E" w:rsidP="008E283E">
      <w:pPr>
        <w:pStyle w:val="Prrafodelista"/>
        <w:numPr>
          <w:ilvl w:val="0"/>
          <w:numId w:val="18"/>
        </w:numPr>
        <w:ind w:left="284" w:hanging="284"/>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¿Toda la información que poseen lo sujetos obligados es pública? </w:t>
      </w:r>
    </w:p>
    <w:p w:rsidR="008E283E" w:rsidRPr="00666362" w:rsidRDefault="008E283E" w:rsidP="008E283E">
      <w:pPr>
        <w:pStyle w:val="Prrafodelista"/>
        <w:ind w:left="284"/>
        <w:jc w:val="both"/>
        <w:rPr>
          <w:rFonts w:asciiTheme="minorHAnsi" w:hAnsiTheme="minorHAnsi" w:cstheme="minorHAnsi"/>
          <w:sz w:val="22"/>
        </w:rPr>
      </w:pPr>
    </w:p>
    <w:p w:rsidR="008E283E" w:rsidRPr="00666362" w:rsidRDefault="008E283E" w:rsidP="00765054">
      <w:pPr>
        <w:spacing w:after="0" w:line="240" w:lineRule="auto"/>
        <w:ind w:left="567"/>
        <w:jc w:val="both"/>
        <w:rPr>
          <w:rFonts w:cstheme="minorHAnsi"/>
          <w:szCs w:val="24"/>
        </w:rPr>
      </w:pPr>
      <w:r w:rsidRPr="00666362">
        <w:rPr>
          <w:rFonts w:cstheme="minorHAnsi"/>
          <w:szCs w:val="24"/>
        </w:rPr>
        <w:t>Sí, toda información en posesión, bajo control o custodia de un sujeto obligado es pública y no podrá ser exceptuada de acceso, sino por disposición constitucional o legal.</w:t>
      </w:r>
    </w:p>
    <w:p w:rsidR="008E283E" w:rsidRPr="00666362" w:rsidRDefault="008E283E" w:rsidP="008E283E">
      <w:pPr>
        <w:spacing w:after="0" w:line="240" w:lineRule="auto"/>
        <w:jc w:val="both"/>
        <w:rPr>
          <w:rFonts w:cstheme="minorHAnsi"/>
          <w:szCs w:val="24"/>
        </w:rPr>
      </w:pPr>
    </w:p>
    <w:p w:rsidR="008E283E" w:rsidRDefault="008E283E" w:rsidP="00765054">
      <w:pPr>
        <w:pStyle w:val="Prrafodelista"/>
        <w:numPr>
          <w:ilvl w:val="0"/>
          <w:numId w:val="18"/>
        </w:numPr>
        <w:ind w:left="709" w:hanging="709"/>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¿Cuáles son los sujetos obligados sobre los cuales el Grupo de Transparencia ejerce control?</w:t>
      </w:r>
    </w:p>
    <w:p w:rsidR="00765054" w:rsidRPr="00666362" w:rsidRDefault="00765054" w:rsidP="00765054">
      <w:pPr>
        <w:pStyle w:val="Prrafodelista"/>
        <w:ind w:left="709"/>
        <w:jc w:val="both"/>
        <w:rPr>
          <w:rFonts w:asciiTheme="minorHAnsi" w:hAnsiTheme="minorHAnsi" w:cstheme="minorHAnsi"/>
          <w:b/>
          <w:i/>
          <w:color w:val="3476B1" w:themeColor="accent2" w:themeShade="BF"/>
          <w:sz w:val="28"/>
        </w:rPr>
      </w:pPr>
    </w:p>
    <w:p w:rsidR="008E283E" w:rsidRPr="00666362" w:rsidRDefault="00765054" w:rsidP="00765054">
      <w:pPr>
        <w:spacing w:after="0" w:line="240" w:lineRule="auto"/>
        <w:ind w:left="567"/>
        <w:jc w:val="both"/>
        <w:rPr>
          <w:rFonts w:cstheme="minorHAnsi"/>
          <w:szCs w:val="24"/>
        </w:rPr>
      </w:pPr>
      <w:r>
        <w:rPr>
          <w:rFonts w:cstheme="minorHAnsi"/>
          <w:szCs w:val="24"/>
        </w:rPr>
        <w:t>Co</w:t>
      </w:r>
      <w:r w:rsidR="008E283E" w:rsidRPr="00666362">
        <w:rPr>
          <w:rFonts w:cstheme="minorHAnsi"/>
          <w:szCs w:val="24"/>
        </w:rPr>
        <w:t>mo órgano garante, la Procuraduría General de la Nación -PGN- a través del Grupo de Transparencia, Integridad y Cultura de lo Público, ejerce control sobre la totalidad de los sujetos obligados enmarcados en el artículo 5 de la Ley 1712 de 2014.</w:t>
      </w:r>
    </w:p>
    <w:p w:rsidR="008E283E" w:rsidRPr="00666362" w:rsidRDefault="008E283E" w:rsidP="00765054">
      <w:pPr>
        <w:pStyle w:val="Prrafodelista"/>
        <w:ind w:left="567"/>
        <w:jc w:val="both"/>
        <w:rPr>
          <w:rFonts w:asciiTheme="minorHAnsi" w:hAnsiTheme="minorHAnsi" w:cstheme="minorHAnsi"/>
          <w:sz w:val="22"/>
        </w:rPr>
      </w:pPr>
    </w:p>
    <w:p w:rsidR="008E283E" w:rsidRPr="00666362" w:rsidRDefault="008E283E" w:rsidP="00765054">
      <w:pPr>
        <w:spacing w:after="0" w:line="240" w:lineRule="auto"/>
        <w:ind w:left="567"/>
        <w:jc w:val="both"/>
        <w:rPr>
          <w:rFonts w:cstheme="minorHAnsi"/>
          <w:szCs w:val="24"/>
        </w:rPr>
      </w:pPr>
      <w:r w:rsidRPr="00666362">
        <w:rPr>
          <w:rFonts w:cstheme="minorHAnsi"/>
          <w:szCs w:val="24"/>
        </w:rPr>
        <w:t>Ellos son:  entidad públicas y privadas  del nivel nacional y territorial como:  Gobernaciones y Alcaldías, Cabildos Indígenas, entidades educativas públicas y privadas, Corporaciones Autónomas Regionales, Cámaras de Comercio, Consejos Comunitarios, Cajas de Compensación Familiar, Fondos Administradores de Contribuciones Parafiscales, Notarias, Agencias Prestadoras de Servicios Públicos, de Seguridad Social (salud y pensiones), concesionarios de transporte público, concesionarios de la industria y transporte de hidrocarburos y partidos políticos.</w:t>
      </w:r>
    </w:p>
    <w:p w:rsidR="008E283E" w:rsidRPr="00666362" w:rsidRDefault="008E283E" w:rsidP="008E283E">
      <w:pPr>
        <w:spacing w:after="0" w:line="276" w:lineRule="auto"/>
        <w:jc w:val="both"/>
        <w:rPr>
          <w:rFonts w:cstheme="minorHAnsi"/>
          <w:b/>
          <w:szCs w:val="24"/>
        </w:rPr>
      </w:pPr>
    </w:p>
    <w:p w:rsidR="008E283E" w:rsidRDefault="008E283E" w:rsidP="00765054">
      <w:pPr>
        <w:pStyle w:val="Prrafodelista"/>
        <w:numPr>
          <w:ilvl w:val="0"/>
          <w:numId w:val="18"/>
        </w:numPr>
        <w:ind w:left="709" w:hanging="709"/>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¿Ante quien se debe radicar la solicitud de información con identificación reservada?</w:t>
      </w:r>
    </w:p>
    <w:p w:rsidR="00765054" w:rsidRPr="00666362" w:rsidRDefault="00765054" w:rsidP="00765054">
      <w:pPr>
        <w:pStyle w:val="Prrafodelista"/>
        <w:ind w:left="709"/>
        <w:jc w:val="both"/>
        <w:rPr>
          <w:rFonts w:asciiTheme="minorHAnsi" w:hAnsiTheme="minorHAnsi" w:cstheme="minorHAnsi"/>
          <w:b/>
          <w:i/>
          <w:color w:val="3476B1" w:themeColor="accent2" w:themeShade="BF"/>
          <w:sz w:val="28"/>
        </w:rPr>
      </w:pPr>
    </w:p>
    <w:p w:rsidR="008E283E" w:rsidRPr="00666362" w:rsidRDefault="008E283E" w:rsidP="00765054">
      <w:pPr>
        <w:spacing w:after="0" w:line="240" w:lineRule="auto"/>
        <w:ind w:left="567"/>
        <w:jc w:val="both"/>
        <w:rPr>
          <w:rFonts w:cstheme="minorHAnsi"/>
          <w:szCs w:val="24"/>
        </w:rPr>
      </w:pPr>
      <w:r w:rsidRPr="00666362">
        <w:rPr>
          <w:rFonts w:cstheme="minorHAnsi"/>
          <w:szCs w:val="24"/>
        </w:rPr>
        <w:t xml:space="preserve">De conformidad con lo establecido en la Ley 1712 de 2014, la solicitud de acceso a la información pública mediante el procedimiento especial de solicitud de información pública con identificación reservada debe hacerse ante el Ministerio Público, bien sea ante la Procuraduría General de la Nación, las Personerías Distritales y Municipales o ante la Defensoría del Pueblo. </w:t>
      </w:r>
    </w:p>
    <w:p w:rsidR="008E283E" w:rsidRPr="00666362" w:rsidRDefault="008E283E" w:rsidP="008E283E">
      <w:pPr>
        <w:spacing w:after="0" w:line="276" w:lineRule="auto"/>
        <w:jc w:val="both"/>
        <w:rPr>
          <w:rFonts w:cstheme="minorHAnsi"/>
          <w:b/>
          <w:szCs w:val="24"/>
        </w:rPr>
      </w:pPr>
    </w:p>
    <w:p w:rsidR="008E283E" w:rsidRDefault="008E283E" w:rsidP="00765054">
      <w:pPr>
        <w:pStyle w:val="Prrafodelista"/>
        <w:numPr>
          <w:ilvl w:val="0"/>
          <w:numId w:val="18"/>
        </w:numPr>
        <w:ind w:left="709" w:hanging="709"/>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¿Cómo se radica una solicitud de Identificación reservada en la Procuraduría General de la Nación?</w:t>
      </w:r>
    </w:p>
    <w:p w:rsidR="00765054" w:rsidRPr="00666362" w:rsidRDefault="00765054" w:rsidP="00765054">
      <w:pPr>
        <w:pStyle w:val="Prrafodelista"/>
        <w:ind w:left="709"/>
        <w:jc w:val="both"/>
        <w:rPr>
          <w:rFonts w:asciiTheme="minorHAnsi" w:hAnsiTheme="minorHAnsi" w:cstheme="minorHAnsi"/>
          <w:b/>
          <w:i/>
          <w:color w:val="3476B1" w:themeColor="accent2" w:themeShade="BF"/>
          <w:sz w:val="28"/>
        </w:rPr>
      </w:pPr>
    </w:p>
    <w:p w:rsidR="008E283E" w:rsidRPr="00666362" w:rsidRDefault="008E283E" w:rsidP="00765054">
      <w:pPr>
        <w:pStyle w:val="xmsonormal"/>
        <w:shd w:val="clear" w:color="auto" w:fill="FFFFFF"/>
        <w:spacing w:before="0" w:beforeAutospacing="0" w:after="0" w:afterAutospacing="0"/>
        <w:ind w:left="567"/>
        <w:jc w:val="both"/>
        <w:rPr>
          <w:rFonts w:asciiTheme="minorHAnsi" w:hAnsiTheme="minorHAnsi" w:cstheme="minorHAnsi"/>
          <w:sz w:val="22"/>
        </w:rPr>
      </w:pPr>
      <w:r w:rsidRPr="00666362">
        <w:rPr>
          <w:rFonts w:asciiTheme="minorHAnsi" w:hAnsiTheme="minorHAnsi" w:cstheme="minorHAnsi"/>
          <w:sz w:val="22"/>
        </w:rPr>
        <w:t xml:space="preserve">La Procuraduría General de la Nación a través del Grupo de Transparencia Integridad y Cultura de lo Público, ha diseñado en la página web de la entidad, una sección denominada </w:t>
      </w:r>
      <w:r w:rsidRPr="00666362">
        <w:rPr>
          <w:rFonts w:asciiTheme="minorHAnsi" w:hAnsiTheme="minorHAnsi" w:cstheme="minorHAnsi"/>
          <w:i/>
          <w:sz w:val="22"/>
        </w:rPr>
        <w:t>“solicitud de información con identificación reservada”</w:t>
      </w:r>
      <w:r w:rsidRPr="00666362">
        <w:rPr>
          <w:rFonts w:asciiTheme="minorHAnsi" w:hAnsiTheme="minorHAnsi" w:cstheme="minorHAnsi"/>
          <w:sz w:val="22"/>
        </w:rPr>
        <w:t xml:space="preserve"> en la que las personas pueden radicar su solicitud de información pública con el procedimiento especial consagrado en el parágrafo del artículo 4° de la Ley 1712 de 2014.  Qué quiere decir?: Cuando la persona que requiera información pública de cualquier sujeto obligado, considere que al solicitarlos directamente ante el sujeto obligado corre algún riesgo o peligro (o su familia), podrá activar este mecanismo habilitado en la página web de la Procuraduría, donde pedirá los documentos que </w:t>
      </w:r>
      <w:proofErr w:type="gramStart"/>
      <w:r w:rsidRPr="00666362">
        <w:rPr>
          <w:rFonts w:asciiTheme="minorHAnsi" w:hAnsiTheme="minorHAnsi" w:cstheme="minorHAnsi"/>
          <w:sz w:val="22"/>
        </w:rPr>
        <w:t>necesite</w:t>
      </w:r>
      <w:proofErr w:type="gramEnd"/>
      <w:r w:rsidRPr="00666362">
        <w:rPr>
          <w:rFonts w:asciiTheme="minorHAnsi" w:hAnsiTheme="minorHAnsi" w:cstheme="minorHAnsi"/>
          <w:sz w:val="22"/>
        </w:rPr>
        <w:t>.  La Procuraduría General de la Nación tramitará su solicitud, garantizando no revelar su identidad, ni sus datos personales, como tampoco se valorará si es cierto o no el peligro o riesgo que corre al dirigirse directamente al sujeto obligado. Una vez la Procuraduría General de la Nación, cuente con esta información, se remite el documento al solicitante sin costo alguno, excepto los costos de reproducción de la información si es necesario. Se aclara que la PGN no es ninguna instancia procesal en caso de ser negada la información por ser Reservada o Clasificada.</w:t>
      </w:r>
      <w:r>
        <w:rPr>
          <w:rFonts w:asciiTheme="minorHAnsi" w:hAnsiTheme="minorHAnsi" w:cstheme="minorHAnsi"/>
          <w:sz w:val="22"/>
        </w:rPr>
        <w:t xml:space="preserve"> </w:t>
      </w:r>
      <w:hyperlink r:id="rId8" w:anchor="no-back-button" w:history="1">
        <w:r w:rsidRPr="008E283E">
          <w:rPr>
            <w:rStyle w:val="Hipervnculo"/>
            <w:rFonts w:asciiTheme="minorHAnsi" w:hAnsiTheme="minorHAnsi" w:cstheme="minorHAnsi"/>
            <w:sz w:val="22"/>
          </w:rPr>
          <w:t>VER AQUÍ</w:t>
        </w:r>
      </w:hyperlink>
      <w:r>
        <w:rPr>
          <w:rFonts w:asciiTheme="minorHAnsi" w:hAnsiTheme="minorHAnsi" w:cstheme="minorHAnsi"/>
          <w:sz w:val="22"/>
        </w:rPr>
        <w:t>.</w:t>
      </w:r>
    </w:p>
    <w:p w:rsidR="008E283E" w:rsidRPr="008E283E" w:rsidRDefault="008E283E" w:rsidP="008E283E">
      <w:pPr>
        <w:pStyle w:val="xmsonormal"/>
        <w:shd w:val="clear" w:color="auto" w:fill="FFFFFF"/>
        <w:spacing w:before="0" w:beforeAutospacing="0" w:after="160" w:afterAutospacing="0" w:line="233" w:lineRule="atLeast"/>
        <w:jc w:val="both"/>
        <w:rPr>
          <w:rFonts w:asciiTheme="minorHAnsi" w:hAnsiTheme="minorHAnsi" w:cstheme="minorHAnsi"/>
          <w:sz w:val="22"/>
        </w:rPr>
      </w:pPr>
    </w:p>
    <w:p w:rsidR="008E283E" w:rsidRDefault="008E283E" w:rsidP="00765054">
      <w:pPr>
        <w:pStyle w:val="Prrafodelista"/>
        <w:numPr>
          <w:ilvl w:val="0"/>
          <w:numId w:val="18"/>
        </w:numPr>
        <w:ind w:left="709" w:hanging="709"/>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¿Cuándo puedo hacer una solicitud de información pública con identificación reservada?</w:t>
      </w:r>
    </w:p>
    <w:p w:rsidR="00765054" w:rsidRPr="00666362" w:rsidRDefault="00765054" w:rsidP="00765054">
      <w:pPr>
        <w:pStyle w:val="Prrafodelista"/>
        <w:ind w:left="851"/>
        <w:jc w:val="both"/>
        <w:rPr>
          <w:rFonts w:asciiTheme="minorHAnsi" w:hAnsiTheme="minorHAnsi" w:cstheme="minorHAnsi"/>
          <w:b/>
          <w:i/>
          <w:color w:val="3476B1" w:themeColor="accent2" w:themeShade="BF"/>
          <w:sz w:val="28"/>
        </w:rPr>
      </w:pPr>
    </w:p>
    <w:p w:rsidR="008E283E" w:rsidRPr="00666362" w:rsidRDefault="008E283E" w:rsidP="00765054">
      <w:pPr>
        <w:spacing w:after="0" w:line="240" w:lineRule="auto"/>
        <w:ind w:left="709"/>
        <w:jc w:val="both"/>
        <w:rPr>
          <w:rFonts w:cstheme="minorHAnsi"/>
          <w:szCs w:val="24"/>
        </w:rPr>
      </w:pPr>
      <w:r w:rsidRPr="00666362">
        <w:rPr>
          <w:rFonts w:cstheme="minorHAnsi"/>
          <w:szCs w:val="24"/>
        </w:rPr>
        <w:t xml:space="preserve">Cuando la persona realiza una solicitud de información pública con identificación reservada es porque su integridad o la de su familia están en riesgo, tal como lo determina el parágrafo del artículo 4° de la Ley 1712 de 2014, e igualmente, se precisa que mediante este procedimiento especial no se pueden interponer quejas o denuncias, ni formular consultas. </w:t>
      </w:r>
    </w:p>
    <w:p w:rsidR="008E283E" w:rsidRPr="00666362" w:rsidRDefault="008E283E" w:rsidP="00765054">
      <w:pPr>
        <w:spacing w:after="0" w:line="276" w:lineRule="auto"/>
        <w:ind w:left="709"/>
        <w:jc w:val="both"/>
        <w:rPr>
          <w:rFonts w:cstheme="minorHAnsi"/>
          <w:color w:val="FF0000"/>
          <w:szCs w:val="24"/>
        </w:rPr>
      </w:pPr>
    </w:p>
    <w:p w:rsidR="008E283E" w:rsidRDefault="008E283E" w:rsidP="00765054">
      <w:pPr>
        <w:pStyle w:val="Prrafodelista"/>
        <w:numPr>
          <w:ilvl w:val="0"/>
          <w:numId w:val="18"/>
        </w:numPr>
        <w:ind w:left="709" w:hanging="709"/>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¿En aras de solucionar controversias relacionadas con el régimen de reserva y clasificación de la información pública quién es el competente para dirimirlas?</w:t>
      </w:r>
    </w:p>
    <w:p w:rsidR="00765054" w:rsidRPr="00666362" w:rsidRDefault="00765054" w:rsidP="00765054">
      <w:pPr>
        <w:pStyle w:val="Prrafodelista"/>
        <w:ind w:left="709"/>
        <w:jc w:val="both"/>
        <w:rPr>
          <w:rFonts w:asciiTheme="minorHAnsi" w:hAnsiTheme="minorHAnsi" w:cstheme="minorHAnsi"/>
          <w:b/>
          <w:i/>
          <w:color w:val="3476B1" w:themeColor="accent2" w:themeShade="BF"/>
          <w:sz w:val="28"/>
        </w:rPr>
      </w:pPr>
    </w:p>
    <w:p w:rsidR="008E283E" w:rsidRPr="00666362" w:rsidRDefault="008E283E" w:rsidP="00765054">
      <w:pPr>
        <w:spacing w:after="0" w:line="276" w:lineRule="auto"/>
        <w:ind w:left="567"/>
        <w:jc w:val="both"/>
        <w:rPr>
          <w:rFonts w:cstheme="minorHAnsi"/>
          <w:szCs w:val="24"/>
        </w:rPr>
      </w:pPr>
      <w:r w:rsidRPr="00666362">
        <w:rPr>
          <w:rFonts w:cstheme="minorHAnsi"/>
          <w:szCs w:val="24"/>
        </w:rPr>
        <w:t>En el caso que sea negada la entrega de información por parte de un sujeto obligado, bien sea por invocar la reserva por razones de seguridad y de defensa nacional o relaciones internacionales (artículo 27 de la Ley 1712 de 2014) o en el caso de que la persona interesada insistiere en su petición de información o de documentos ante la autoridad que invoca la reserva (artículo 26 de la Ley 1755 de 2015), será la Jurisdicción de lo Contencioso Administrativa quien decida respecto de la limitación de acceder a la información solicitada, pues en las dos normas se establece como obligación del funcionario que niega el acceso a la información pública o a los documentos, remitir la documentación correspondiente al Juez Administrativo o al Tribunal Contencioso Administrativo, según sea el caso, para que éste decida si se entrega o no la información o documentos solicitados</w:t>
      </w:r>
    </w:p>
    <w:p w:rsidR="008E283E" w:rsidRPr="00666362" w:rsidRDefault="008E283E" w:rsidP="00765054">
      <w:pPr>
        <w:spacing w:after="0" w:line="276" w:lineRule="auto"/>
        <w:ind w:left="567"/>
        <w:jc w:val="both"/>
        <w:rPr>
          <w:rFonts w:cstheme="minorHAnsi"/>
          <w:szCs w:val="24"/>
        </w:rPr>
      </w:pPr>
    </w:p>
    <w:p w:rsidR="008E283E" w:rsidRDefault="008E283E" w:rsidP="00765054">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¿Cómo se interpreta la contradicción manifiesta que hay entre el artículo 27 de la Ley 1712 de 2014 y los artículos 25 y 26 de la Ley 1755 de 2015? </w:t>
      </w:r>
    </w:p>
    <w:p w:rsidR="00765054" w:rsidRPr="00666362" w:rsidRDefault="00765054" w:rsidP="00765054">
      <w:pPr>
        <w:pStyle w:val="Prrafodelista"/>
        <w:ind w:left="851"/>
        <w:jc w:val="both"/>
        <w:rPr>
          <w:rFonts w:asciiTheme="minorHAnsi" w:hAnsiTheme="minorHAnsi" w:cstheme="minorHAnsi"/>
          <w:b/>
          <w:i/>
          <w:color w:val="3476B1" w:themeColor="accent2" w:themeShade="BF"/>
          <w:sz w:val="28"/>
        </w:rPr>
      </w:pPr>
    </w:p>
    <w:p w:rsidR="008E283E" w:rsidRDefault="008E283E" w:rsidP="00765054">
      <w:pPr>
        <w:spacing w:after="0" w:line="240" w:lineRule="auto"/>
        <w:ind w:left="567"/>
        <w:jc w:val="both"/>
        <w:rPr>
          <w:rFonts w:cstheme="minorHAnsi"/>
          <w:szCs w:val="24"/>
        </w:rPr>
      </w:pPr>
      <w:r w:rsidRPr="00666362">
        <w:rPr>
          <w:rFonts w:cstheme="minorHAnsi"/>
          <w:szCs w:val="24"/>
        </w:rPr>
        <w:t xml:space="preserve">Al tratarse de dos derechos fundamentales autónomos e independientes, uno de ellos el derecho fundamental de petición, regulado por la Ley 1755 de 2015 y el otro, el derecho fundamental de acceso a la información pública regulado por la Ley 1712 de 2014, reconocidos así entre otras por la Sentencia de la Corte Constitucional C - 274 de 2013, se tiene que en realidad no existe contradicción entre las dos normas, pues se trata de dos procedimientos diferentes o complementarios, uno de ellos consagrado en el artículo 27 de la Ley 1712 de 2014 y el otro, contenido en los artículos 25 y 26 de la Ley 1755 de 2015. </w:t>
      </w:r>
    </w:p>
    <w:p w:rsidR="008E283E" w:rsidRDefault="008E283E" w:rsidP="008E283E">
      <w:pPr>
        <w:spacing w:after="0" w:line="240" w:lineRule="auto"/>
        <w:jc w:val="both"/>
        <w:rPr>
          <w:rFonts w:cstheme="minorHAnsi"/>
          <w:szCs w:val="24"/>
        </w:rPr>
      </w:pPr>
    </w:p>
    <w:p w:rsidR="008E283E" w:rsidRPr="00666362" w:rsidRDefault="008E283E" w:rsidP="008E283E">
      <w:pPr>
        <w:spacing w:after="0" w:line="276" w:lineRule="auto"/>
        <w:jc w:val="both"/>
        <w:rPr>
          <w:rFonts w:cstheme="minorHAnsi"/>
          <w:szCs w:val="24"/>
        </w:rPr>
      </w:pPr>
    </w:p>
    <w:p w:rsidR="008E283E" w:rsidRPr="00666362" w:rsidRDefault="008E283E" w:rsidP="008E283E">
      <w:pPr>
        <w:pBdr>
          <w:top w:val="single" w:sz="12" w:space="1" w:color="072B62" w:themeColor="background2" w:themeShade="40"/>
          <w:bottom w:val="single" w:sz="12" w:space="1" w:color="072B62" w:themeColor="background2" w:themeShade="40"/>
        </w:pBdr>
        <w:autoSpaceDE w:val="0"/>
        <w:autoSpaceDN w:val="0"/>
        <w:adjustRightInd w:val="0"/>
        <w:jc w:val="both"/>
        <w:rPr>
          <w:rFonts w:ascii="Trebuchet MS" w:hAnsi="Trebuchet MS" w:cstheme="minorHAnsi"/>
          <w:b/>
          <w:color w:val="253356" w:themeColor="accent1" w:themeShade="80"/>
          <w:sz w:val="36"/>
          <w:szCs w:val="24"/>
        </w:rPr>
      </w:pPr>
      <w:r w:rsidRPr="00666362">
        <w:rPr>
          <w:rFonts w:ascii="Trebuchet MS" w:hAnsi="Trebuchet MS" w:cstheme="minorHAnsi"/>
          <w:b/>
          <w:color w:val="253356" w:themeColor="accent1" w:themeShade="80"/>
          <w:sz w:val="36"/>
          <w:szCs w:val="24"/>
        </w:rPr>
        <w:t>FORMULADA POR SUJETOS OBLIGADOS</w:t>
      </w:r>
      <w:r w:rsidR="000D4016">
        <w:rPr>
          <w:rFonts w:ascii="Trebuchet MS" w:hAnsi="Trebuchet MS" w:cstheme="minorHAnsi"/>
          <w:b/>
          <w:color w:val="253356" w:themeColor="accent1" w:themeShade="80"/>
          <w:sz w:val="36"/>
          <w:szCs w:val="24"/>
        </w:rPr>
        <w:t>*</w:t>
      </w:r>
    </w:p>
    <w:p w:rsidR="008E283E" w:rsidRPr="00666362" w:rsidRDefault="008E283E" w:rsidP="008E283E">
      <w:pPr>
        <w:spacing w:after="0" w:line="276" w:lineRule="auto"/>
        <w:jc w:val="both"/>
        <w:rPr>
          <w:rFonts w:cstheme="minorHAnsi"/>
          <w:szCs w:val="24"/>
        </w:rPr>
      </w:pPr>
    </w:p>
    <w:p w:rsidR="008E283E" w:rsidRPr="00666362" w:rsidRDefault="008E283E" w:rsidP="00765054">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¿Cómo se debe presentar y qué debe contener puntualmente el informe de ejecución de contratos?</w:t>
      </w:r>
    </w:p>
    <w:p w:rsidR="008E283E" w:rsidRPr="00666362" w:rsidRDefault="008E283E" w:rsidP="00765054">
      <w:pPr>
        <w:spacing w:after="0" w:line="240" w:lineRule="auto"/>
        <w:ind w:left="567"/>
        <w:jc w:val="both"/>
        <w:rPr>
          <w:rFonts w:cstheme="minorHAnsi"/>
          <w:szCs w:val="24"/>
        </w:rPr>
      </w:pPr>
      <w:r w:rsidRPr="00666362">
        <w:rPr>
          <w:rFonts w:cstheme="minorHAnsi"/>
          <w:szCs w:val="24"/>
        </w:rPr>
        <w:t xml:space="preserve">De conformidad con lo dispuesto en el numeral 8.2 del anexo 1 de la Resolución 3564 de 2015, expedida por el Ministerio de Tecnologías de la Información y las Comunicaciones, los </w:t>
      </w:r>
      <w:r w:rsidRPr="00666362">
        <w:rPr>
          <w:rFonts w:cstheme="minorHAnsi"/>
          <w:szCs w:val="24"/>
        </w:rPr>
        <w:lastRenderedPageBreak/>
        <w:t>sujetos obligados, en cuanto a la ejecución de los contratos, deberán publicar las aprobaciones, las autorizaciones, requerimientos o informes del supervisor o del interventor que prueben la ejecución de los mismos.</w:t>
      </w:r>
      <w:r w:rsidR="00765054">
        <w:rPr>
          <w:rFonts w:cstheme="minorHAnsi"/>
          <w:szCs w:val="24"/>
        </w:rPr>
        <w:t xml:space="preserve"> </w:t>
      </w:r>
      <w:r w:rsidRPr="00666362">
        <w:rPr>
          <w:rFonts w:cstheme="minorHAnsi"/>
          <w:szCs w:val="24"/>
        </w:rPr>
        <w:t xml:space="preserve">De acuerdo a lo anterior, se tiene que en materia de publicación de la información de contratación, los sujetos obligados descritos en el artículo 5° de la Ley 1712 de 2014, deben cumplir con lo estipulado en el numeral 8° del anexo 1 de la Resolución 3564 de 2015 proferida por el Ministerio de Tecnologías de la Información y las Comunicaciones. </w:t>
      </w:r>
    </w:p>
    <w:p w:rsidR="008E283E" w:rsidRPr="00666362" w:rsidRDefault="008E283E" w:rsidP="008E283E">
      <w:pPr>
        <w:spacing w:after="0" w:line="276" w:lineRule="auto"/>
        <w:jc w:val="both"/>
        <w:rPr>
          <w:rFonts w:cstheme="minorHAnsi"/>
          <w:szCs w:val="24"/>
        </w:rPr>
      </w:pPr>
    </w:p>
    <w:p w:rsidR="008E283E" w:rsidRPr="00666362" w:rsidRDefault="008E283E" w:rsidP="00765054">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¿El Grupo de Transparencia tiene algún tipo de control sobre los parafiscales?</w:t>
      </w:r>
    </w:p>
    <w:p w:rsidR="008E283E" w:rsidRPr="00666362" w:rsidRDefault="008E283E" w:rsidP="008E283E">
      <w:pPr>
        <w:pStyle w:val="Prrafodelista"/>
        <w:jc w:val="both"/>
        <w:rPr>
          <w:rFonts w:asciiTheme="minorHAnsi" w:hAnsiTheme="minorHAnsi" w:cstheme="minorHAnsi"/>
          <w:b/>
          <w:i/>
          <w:sz w:val="22"/>
        </w:rPr>
      </w:pPr>
    </w:p>
    <w:p w:rsidR="008E283E" w:rsidRPr="00666362" w:rsidRDefault="008E283E" w:rsidP="00765054">
      <w:pPr>
        <w:spacing w:after="0" w:line="240" w:lineRule="auto"/>
        <w:ind w:left="567"/>
        <w:jc w:val="both"/>
        <w:rPr>
          <w:rFonts w:cstheme="minorHAnsi"/>
          <w:szCs w:val="24"/>
        </w:rPr>
      </w:pPr>
      <w:r w:rsidRPr="00666362">
        <w:rPr>
          <w:rFonts w:cstheme="minorHAnsi"/>
          <w:szCs w:val="24"/>
        </w:rPr>
        <w:t xml:space="preserve">La Ley 1712 de 2014 taxativamente establece que las entidades que administren instituciones parafiscales, fondos o recursos de naturaleza u origen público son sujetos obligados y le corresponde al Ministerio Público velar por el adecuado cumplimiento de las obligaciones estipuladas en dicha Ley. </w:t>
      </w:r>
    </w:p>
    <w:p w:rsidR="008E283E" w:rsidRPr="00666362" w:rsidRDefault="008E283E" w:rsidP="008E283E">
      <w:pPr>
        <w:spacing w:after="0" w:line="276" w:lineRule="auto"/>
        <w:jc w:val="both"/>
        <w:rPr>
          <w:rFonts w:cstheme="minorHAnsi"/>
          <w:szCs w:val="24"/>
        </w:rPr>
      </w:pPr>
    </w:p>
    <w:p w:rsidR="008E283E" w:rsidRDefault="008E283E" w:rsidP="000D4016">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 ¿Las clínicas privadas y las IPS deben cumplir con la ley 1712 de 2014 y demás normas concordantes? </w:t>
      </w:r>
    </w:p>
    <w:p w:rsidR="00765054" w:rsidRPr="00666362" w:rsidRDefault="00765054" w:rsidP="00765054">
      <w:pPr>
        <w:pStyle w:val="Prrafodelista"/>
        <w:ind w:left="851"/>
        <w:jc w:val="both"/>
        <w:rPr>
          <w:rFonts w:asciiTheme="minorHAnsi" w:hAnsiTheme="minorHAnsi" w:cstheme="minorHAnsi"/>
          <w:b/>
          <w:i/>
          <w:color w:val="3476B1" w:themeColor="accent2" w:themeShade="BF"/>
          <w:sz w:val="28"/>
        </w:rPr>
      </w:pPr>
    </w:p>
    <w:p w:rsidR="008E283E" w:rsidRPr="00666362" w:rsidRDefault="008E283E" w:rsidP="00765054">
      <w:pPr>
        <w:spacing w:after="0" w:line="240" w:lineRule="auto"/>
        <w:ind w:left="567"/>
        <w:jc w:val="both"/>
        <w:rPr>
          <w:rFonts w:cstheme="minorHAnsi"/>
          <w:szCs w:val="24"/>
        </w:rPr>
      </w:pPr>
      <w:r w:rsidRPr="00666362">
        <w:rPr>
          <w:rFonts w:cstheme="minorHAnsi"/>
          <w:szCs w:val="24"/>
        </w:rPr>
        <w:t>Si. El marco normativo que impone a las Clínicas Privadas y a las IPS la condición de sujetos obligados está dado por el artículo 49 de la Constitución Política, los literales c) y g) del artículo 5° de la Ley 1712 de 2014 y por la Resolución 3564 de 2015, proferida por el Ministerio de Tecnologías de la Información y las Comunicaciones, y por ello, deben cumplir con las disposiciones de la citada normativa en cuanto a la información relacionada con la prestación del servicio público de salud y el manejo, administración o intermediación de los recursos de naturaleza u origen público a su cargo.</w:t>
      </w:r>
    </w:p>
    <w:p w:rsidR="008E283E" w:rsidRPr="00666362" w:rsidRDefault="008E283E" w:rsidP="008E283E">
      <w:pPr>
        <w:pStyle w:val="Prrafodelista"/>
        <w:ind w:left="284"/>
        <w:jc w:val="both"/>
        <w:rPr>
          <w:rFonts w:asciiTheme="minorHAnsi" w:hAnsiTheme="minorHAnsi" w:cstheme="minorHAnsi"/>
          <w:sz w:val="22"/>
        </w:rPr>
      </w:pPr>
    </w:p>
    <w:p w:rsidR="008E283E" w:rsidRDefault="008E283E" w:rsidP="00765054">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¿El sujeto obligado debe publicar el plan de gasto público para cada año fiscal?</w:t>
      </w:r>
    </w:p>
    <w:p w:rsidR="00765054" w:rsidRPr="00666362" w:rsidRDefault="00765054" w:rsidP="00765054">
      <w:pPr>
        <w:pStyle w:val="Prrafodelista"/>
        <w:ind w:left="851"/>
        <w:jc w:val="both"/>
        <w:rPr>
          <w:rFonts w:asciiTheme="minorHAnsi" w:hAnsiTheme="minorHAnsi" w:cstheme="minorHAnsi"/>
          <w:b/>
          <w:i/>
          <w:color w:val="3476B1" w:themeColor="accent2" w:themeShade="BF"/>
          <w:sz w:val="28"/>
        </w:rPr>
      </w:pPr>
    </w:p>
    <w:p w:rsidR="008E283E" w:rsidRPr="00666362" w:rsidRDefault="000D4016" w:rsidP="000D4016">
      <w:pPr>
        <w:spacing w:after="0" w:line="240" w:lineRule="auto"/>
        <w:ind w:left="567"/>
        <w:jc w:val="both"/>
        <w:rPr>
          <w:rFonts w:cstheme="minorHAnsi"/>
          <w:szCs w:val="24"/>
        </w:rPr>
      </w:pPr>
      <w:r>
        <w:rPr>
          <w:rFonts w:cstheme="minorHAnsi"/>
          <w:szCs w:val="24"/>
        </w:rPr>
        <w:t>Si, e</w:t>
      </w:r>
      <w:r w:rsidR="008E283E" w:rsidRPr="00666362">
        <w:rPr>
          <w:rFonts w:cstheme="minorHAnsi"/>
          <w:szCs w:val="24"/>
        </w:rPr>
        <w:t>n lo referente al numeral 6.2 del Anexo 1 de la Resolución 3564 de 2015, expedida por el Ministerio de Tecnologías de la Información y las Comunicaciones, se tiene que los sujetos obligados deben publicar el plan de gasto público para cada año fiscal, la cual debe estar acorde con lo dispuesto en el artículo 74 de la ley 1474 de 2011, que establece que todas las entidades del Estado, a más tardar el 31 de enero de cada año, deberán publicar en su respectivo sitio web el Plan de Acción para el año siguiente, en el cual se especificarán los objetivos, las estrategias, los proyectos, las metas, los responsables, los planes generales de compras y la distribución presupuestal de sus proyectos de inversión junto con los indicadores de gestión.</w:t>
      </w:r>
      <w:r>
        <w:rPr>
          <w:rFonts w:cstheme="minorHAnsi"/>
          <w:szCs w:val="24"/>
        </w:rPr>
        <w:t xml:space="preserve"> </w:t>
      </w:r>
      <w:r w:rsidR="008E283E" w:rsidRPr="00666362">
        <w:rPr>
          <w:rFonts w:cstheme="minorHAnsi"/>
          <w:szCs w:val="24"/>
        </w:rPr>
        <w:t>El Plan de Acción deberá estar acompañado del informe de gestión del año inmediatamente anterior y, deberán también publicar su presupuesto debidamente desagregado, así como las modificaciones a este o a su desagregación.</w:t>
      </w:r>
    </w:p>
    <w:p w:rsidR="008E283E" w:rsidRPr="00666362" w:rsidRDefault="008E283E" w:rsidP="008E283E">
      <w:pPr>
        <w:pStyle w:val="Prrafodelista"/>
        <w:spacing w:line="276" w:lineRule="auto"/>
        <w:ind w:left="0"/>
        <w:jc w:val="both"/>
        <w:rPr>
          <w:rFonts w:asciiTheme="minorHAnsi" w:hAnsiTheme="minorHAnsi" w:cstheme="minorHAnsi"/>
          <w:sz w:val="22"/>
        </w:rPr>
      </w:pPr>
    </w:p>
    <w:p w:rsidR="008E283E" w:rsidRDefault="008E283E" w:rsidP="000D4016">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 ¿Cómo se debe presentar y qué debe contener puntualmente el informe de ejecución de contratos?</w:t>
      </w:r>
    </w:p>
    <w:p w:rsidR="000D4016" w:rsidRPr="00666362" w:rsidRDefault="000D4016" w:rsidP="000D4016">
      <w:pPr>
        <w:pStyle w:val="Prrafodelista"/>
        <w:ind w:left="567"/>
        <w:jc w:val="both"/>
        <w:rPr>
          <w:rFonts w:asciiTheme="minorHAnsi" w:hAnsiTheme="minorHAnsi" w:cstheme="minorHAnsi"/>
          <w:b/>
          <w:i/>
          <w:color w:val="3476B1" w:themeColor="accent2" w:themeShade="BF"/>
          <w:sz w:val="28"/>
        </w:rPr>
      </w:pPr>
    </w:p>
    <w:p w:rsidR="008E283E" w:rsidRPr="00666362" w:rsidRDefault="008E283E" w:rsidP="000D4016">
      <w:pPr>
        <w:spacing w:after="0" w:line="240" w:lineRule="auto"/>
        <w:ind w:left="567"/>
        <w:jc w:val="both"/>
        <w:rPr>
          <w:rFonts w:cstheme="minorHAnsi"/>
          <w:szCs w:val="24"/>
        </w:rPr>
      </w:pPr>
      <w:r w:rsidRPr="00666362">
        <w:rPr>
          <w:rFonts w:cstheme="minorHAnsi"/>
          <w:szCs w:val="24"/>
        </w:rPr>
        <w:t xml:space="preserve">De conformidad con lo dispuesto en el numeral 8.2 del anexo 1 de la Resolución 3564 de 2015, expedida por el Ministerio de Tecnologías de la Información y las Comunicaciones, los </w:t>
      </w:r>
      <w:r w:rsidRPr="00666362">
        <w:rPr>
          <w:rFonts w:cstheme="minorHAnsi"/>
          <w:szCs w:val="24"/>
        </w:rPr>
        <w:lastRenderedPageBreak/>
        <w:t>sujetos obligados, en cuanto a la ejecución de los contratos, deberán publicar las aprobaciones, las autorizaciones y los requerimientos o informes del supervisor o del interventor que aprueben la ejecución de los mismos.</w:t>
      </w:r>
    </w:p>
    <w:p w:rsidR="008E283E" w:rsidRPr="00666362" w:rsidRDefault="008E283E" w:rsidP="008E283E">
      <w:pPr>
        <w:pStyle w:val="Prrafodelista"/>
        <w:ind w:left="284"/>
        <w:contextualSpacing w:val="0"/>
        <w:jc w:val="both"/>
        <w:rPr>
          <w:rFonts w:asciiTheme="minorHAnsi" w:hAnsiTheme="minorHAnsi" w:cstheme="minorHAnsi"/>
          <w:sz w:val="22"/>
        </w:rPr>
      </w:pPr>
    </w:p>
    <w:p w:rsidR="008E283E" w:rsidRPr="00666362" w:rsidRDefault="008E283E" w:rsidP="000D4016">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 ¿Cuál es el orden adecuado de presentación del </w:t>
      </w:r>
      <w:proofErr w:type="spellStart"/>
      <w:r w:rsidRPr="00666362">
        <w:rPr>
          <w:rFonts w:asciiTheme="minorHAnsi" w:hAnsiTheme="minorHAnsi" w:cstheme="minorHAnsi"/>
          <w:b/>
          <w:i/>
          <w:color w:val="3476B1" w:themeColor="accent2" w:themeShade="BF"/>
          <w:sz w:val="28"/>
        </w:rPr>
        <w:t>Normograma</w:t>
      </w:r>
      <w:proofErr w:type="spellEnd"/>
      <w:r w:rsidRPr="00666362">
        <w:rPr>
          <w:rFonts w:asciiTheme="minorHAnsi" w:hAnsiTheme="minorHAnsi" w:cstheme="minorHAnsi"/>
          <w:b/>
          <w:i/>
          <w:color w:val="3476B1" w:themeColor="accent2" w:themeShade="BF"/>
          <w:sz w:val="28"/>
        </w:rPr>
        <w:t>?</w:t>
      </w:r>
    </w:p>
    <w:p w:rsidR="008E283E" w:rsidRPr="00666362" w:rsidRDefault="008E283E" w:rsidP="008E283E">
      <w:pPr>
        <w:pStyle w:val="Prrafodelista"/>
        <w:ind w:left="284"/>
        <w:jc w:val="both"/>
        <w:rPr>
          <w:rFonts w:asciiTheme="minorHAnsi" w:hAnsiTheme="minorHAnsi" w:cstheme="minorHAnsi"/>
          <w:b/>
          <w:i/>
          <w:color w:val="FF0000"/>
          <w:sz w:val="22"/>
        </w:rPr>
      </w:pPr>
    </w:p>
    <w:p w:rsidR="008E283E" w:rsidRPr="00666362" w:rsidRDefault="008E283E" w:rsidP="000D4016">
      <w:pPr>
        <w:spacing w:after="0" w:line="240" w:lineRule="auto"/>
        <w:ind w:left="567"/>
        <w:jc w:val="both"/>
        <w:rPr>
          <w:rFonts w:cstheme="minorHAnsi"/>
          <w:color w:val="7030A0"/>
          <w:szCs w:val="24"/>
        </w:rPr>
      </w:pPr>
      <w:r w:rsidRPr="00666362">
        <w:rPr>
          <w:rFonts w:cstheme="minorHAnsi"/>
          <w:szCs w:val="24"/>
        </w:rPr>
        <w:t xml:space="preserve">Los sujetos obligados deben seguir lo estipulado en la Resolución 3564 de 2015 expedida por el Ministerio de Tecnologías de la Información y las Comunicaciones, que en su numeral 4.1 y 4.2 del anexo 1, establece los parámetros para la publicación de la normatividad de los sujetos obligados del nivel nacional y territorial. </w:t>
      </w:r>
    </w:p>
    <w:p w:rsidR="008E283E" w:rsidRPr="00666362" w:rsidRDefault="008E283E" w:rsidP="008E283E">
      <w:pPr>
        <w:pStyle w:val="Prrafodelista"/>
        <w:ind w:left="284"/>
        <w:jc w:val="both"/>
        <w:rPr>
          <w:rFonts w:asciiTheme="minorHAnsi" w:hAnsiTheme="minorHAnsi" w:cstheme="minorHAnsi"/>
          <w:color w:val="7030A0"/>
          <w:sz w:val="22"/>
        </w:rPr>
      </w:pPr>
    </w:p>
    <w:p w:rsidR="008E283E" w:rsidRPr="00666362" w:rsidRDefault="008E283E" w:rsidP="000D4016">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¿Es lo mismo hablar del registro de publicaciones y del esquema de publicación de información? </w:t>
      </w:r>
    </w:p>
    <w:p w:rsidR="008E283E" w:rsidRPr="00666362" w:rsidRDefault="008E283E" w:rsidP="008E283E">
      <w:pPr>
        <w:pStyle w:val="Prrafodelista"/>
        <w:jc w:val="both"/>
        <w:rPr>
          <w:rFonts w:asciiTheme="minorHAnsi" w:hAnsiTheme="minorHAnsi" w:cstheme="minorHAnsi"/>
          <w:b/>
          <w:i/>
          <w:sz w:val="22"/>
        </w:rPr>
      </w:pPr>
    </w:p>
    <w:p w:rsidR="008E283E" w:rsidRPr="00666362" w:rsidRDefault="008E283E" w:rsidP="000D4016">
      <w:pPr>
        <w:spacing w:after="0" w:line="240" w:lineRule="auto"/>
        <w:ind w:left="567"/>
        <w:jc w:val="both"/>
        <w:rPr>
          <w:rFonts w:cstheme="minorHAnsi"/>
          <w:szCs w:val="24"/>
        </w:rPr>
      </w:pPr>
      <w:r w:rsidRPr="00666362">
        <w:rPr>
          <w:rFonts w:cstheme="minorHAnsi"/>
          <w:szCs w:val="24"/>
        </w:rPr>
        <w:t xml:space="preserve">No, el registro de publicaciones hace referencia a los documentos que se encuentran publicados de conformidad con la Ley 1712 de 2014, convirtiéndose en un inventario de la información que el sujeto tiene publicada, mientras que el esquema de publicaciones se refiere al instrumento por medio del cual los sujetos obligados informan a los usuarios de la información pública que se encuentra publicada y que se publicará. </w:t>
      </w:r>
    </w:p>
    <w:p w:rsidR="008E283E" w:rsidRPr="00666362" w:rsidRDefault="008E283E" w:rsidP="008E283E">
      <w:pPr>
        <w:pStyle w:val="Prrafodelista"/>
        <w:spacing w:line="276" w:lineRule="auto"/>
        <w:ind w:left="0"/>
        <w:jc w:val="both"/>
        <w:rPr>
          <w:rFonts w:asciiTheme="minorHAnsi" w:hAnsiTheme="minorHAnsi" w:cstheme="minorHAnsi"/>
          <w:sz w:val="22"/>
        </w:rPr>
      </w:pPr>
    </w:p>
    <w:p w:rsidR="008E283E" w:rsidRPr="00666362" w:rsidRDefault="008E283E" w:rsidP="000D4016">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 ¿Qué debe contener el registro de activos de información?</w:t>
      </w:r>
    </w:p>
    <w:p w:rsidR="008E283E" w:rsidRPr="00666362" w:rsidRDefault="008E283E" w:rsidP="008E283E">
      <w:pPr>
        <w:pStyle w:val="Prrafodelista"/>
        <w:ind w:left="284"/>
        <w:jc w:val="both"/>
        <w:rPr>
          <w:rFonts w:asciiTheme="minorHAnsi" w:hAnsiTheme="minorHAnsi" w:cstheme="minorHAnsi"/>
          <w:b/>
          <w:i/>
          <w:sz w:val="22"/>
        </w:rPr>
      </w:pPr>
    </w:p>
    <w:p w:rsidR="008E283E" w:rsidRPr="00666362" w:rsidRDefault="008E283E" w:rsidP="000D4016">
      <w:pPr>
        <w:spacing w:after="0" w:line="240" w:lineRule="auto"/>
        <w:ind w:left="567"/>
        <w:jc w:val="both"/>
        <w:rPr>
          <w:rFonts w:cstheme="minorHAnsi"/>
          <w:szCs w:val="24"/>
        </w:rPr>
      </w:pPr>
      <w:r w:rsidRPr="00666362">
        <w:rPr>
          <w:rFonts w:cstheme="minorHAnsi"/>
          <w:szCs w:val="24"/>
        </w:rPr>
        <w:t xml:space="preserve">Según el artículo 37 y 38 del Decreto 103 de 2015, el registro de activos de información debe contener el inventario completo de toda la información que el sujeto obligado, genere, obtenga, adquiera, transforme o controle en tal condición. No basta simplemente con citar el fundamento legal que otorga a un documento público la condición de documento clasificado o reservado, pues debe el sujeto obligado mediante acto administrativo adoptar tal calificación o condición de aquellos documentos que resulten ser clasificados o reservados. </w:t>
      </w:r>
    </w:p>
    <w:p w:rsidR="008E283E" w:rsidRPr="00666362" w:rsidRDefault="008E283E" w:rsidP="000D4016">
      <w:pPr>
        <w:pStyle w:val="Prrafodelista"/>
        <w:spacing w:line="276" w:lineRule="auto"/>
        <w:ind w:left="567"/>
        <w:jc w:val="both"/>
        <w:rPr>
          <w:rFonts w:asciiTheme="minorHAnsi" w:hAnsiTheme="minorHAnsi" w:cstheme="minorHAnsi"/>
          <w:sz w:val="22"/>
        </w:rPr>
      </w:pPr>
    </w:p>
    <w:p w:rsidR="008E283E" w:rsidRDefault="008E283E" w:rsidP="000D4016">
      <w:pPr>
        <w:pStyle w:val="Prrafodelista"/>
        <w:numPr>
          <w:ilvl w:val="0"/>
          <w:numId w:val="18"/>
        </w:numPr>
        <w:ind w:left="567" w:hanging="567"/>
        <w:jc w:val="both"/>
        <w:rPr>
          <w:rFonts w:asciiTheme="minorHAnsi" w:hAnsiTheme="minorHAnsi" w:cstheme="minorHAnsi"/>
          <w:b/>
          <w:i/>
          <w:color w:val="3476B1" w:themeColor="accent2" w:themeShade="BF"/>
          <w:sz w:val="28"/>
        </w:rPr>
      </w:pPr>
      <w:r w:rsidRPr="00666362">
        <w:rPr>
          <w:rFonts w:asciiTheme="minorHAnsi" w:hAnsiTheme="minorHAnsi" w:cstheme="minorHAnsi"/>
          <w:b/>
          <w:i/>
          <w:color w:val="3476B1" w:themeColor="accent2" w:themeShade="BF"/>
          <w:sz w:val="28"/>
        </w:rPr>
        <w:t xml:space="preserve"> ¿Cuáles son las funciones de las Oficinas de Control Interno con relación a la Ley 1712 de 2014?</w:t>
      </w:r>
    </w:p>
    <w:p w:rsidR="000D4016" w:rsidRPr="00666362" w:rsidRDefault="000D4016" w:rsidP="000D4016">
      <w:pPr>
        <w:pStyle w:val="Prrafodelista"/>
        <w:ind w:left="567"/>
        <w:jc w:val="both"/>
        <w:rPr>
          <w:rFonts w:asciiTheme="minorHAnsi" w:hAnsiTheme="minorHAnsi" w:cstheme="minorHAnsi"/>
          <w:b/>
          <w:i/>
          <w:color w:val="3476B1" w:themeColor="accent2" w:themeShade="BF"/>
          <w:sz w:val="28"/>
        </w:rPr>
      </w:pPr>
    </w:p>
    <w:p w:rsidR="008E283E" w:rsidRPr="00666362" w:rsidRDefault="008E283E" w:rsidP="000D4016">
      <w:pPr>
        <w:spacing w:after="0" w:line="240" w:lineRule="auto"/>
        <w:ind w:left="567"/>
        <w:jc w:val="both"/>
        <w:rPr>
          <w:rFonts w:cstheme="minorHAnsi"/>
          <w:szCs w:val="24"/>
        </w:rPr>
      </w:pPr>
      <w:r w:rsidRPr="00666362">
        <w:rPr>
          <w:rFonts w:cstheme="minorHAnsi"/>
          <w:szCs w:val="24"/>
        </w:rPr>
        <w:t xml:space="preserve">A las Oficinas de Control Interno les corresponden medir, evaluar y asesorar a la entidad a la que pertenecen, para lograr el cumplimiento de las funciones y responsabilidades establecidas en la Ley 1712 de 2014. </w:t>
      </w:r>
    </w:p>
    <w:p w:rsidR="008E283E" w:rsidRPr="00666362" w:rsidRDefault="008E283E" w:rsidP="000D4016">
      <w:pPr>
        <w:pStyle w:val="Prrafodelista"/>
        <w:ind w:left="284" w:firstLine="567"/>
        <w:contextualSpacing w:val="0"/>
        <w:jc w:val="both"/>
        <w:rPr>
          <w:rFonts w:asciiTheme="minorHAnsi" w:hAnsiTheme="minorHAnsi" w:cstheme="minorHAnsi"/>
          <w:sz w:val="22"/>
        </w:rPr>
      </w:pPr>
    </w:p>
    <w:p w:rsidR="008E283E" w:rsidRPr="00666362" w:rsidRDefault="008E283E" w:rsidP="008E283E">
      <w:pPr>
        <w:pStyle w:val="Prrafodelista"/>
        <w:spacing w:line="276" w:lineRule="auto"/>
        <w:ind w:left="0"/>
        <w:rPr>
          <w:rFonts w:asciiTheme="minorHAnsi" w:hAnsiTheme="minorHAnsi" w:cstheme="minorHAnsi"/>
          <w:sz w:val="22"/>
        </w:rPr>
      </w:pPr>
    </w:p>
    <w:p w:rsidR="008E283E" w:rsidRPr="00666362" w:rsidRDefault="000D4016" w:rsidP="000D4016">
      <w:pPr>
        <w:pStyle w:val="Prrafodelista"/>
        <w:spacing w:line="276" w:lineRule="auto"/>
        <w:rPr>
          <w:rFonts w:asciiTheme="minorHAnsi" w:hAnsiTheme="minorHAnsi" w:cstheme="minorHAnsi"/>
          <w:sz w:val="22"/>
        </w:rPr>
      </w:pPr>
      <w:r>
        <w:rPr>
          <w:rFonts w:asciiTheme="minorHAnsi" w:hAnsiTheme="minorHAnsi" w:cstheme="minorHAnsi"/>
          <w:sz w:val="22"/>
        </w:rPr>
        <w:t>*Artículo 5to Ley 1712 de 2014</w:t>
      </w:r>
    </w:p>
    <w:p w:rsidR="008E283E" w:rsidRPr="00666362" w:rsidRDefault="008E283E" w:rsidP="008E283E">
      <w:pPr>
        <w:rPr>
          <w:rFonts w:cstheme="minorHAnsi"/>
          <w:szCs w:val="24"/>
        </w:rPr>
      </w:pPr>
    </w:p>
    <w:p w:rsidR="008E283E" w:rsidRPr="00666362" w:rsidRDefault="008E283E" w:rsidP="008E283E">
      <w:pPr>
        <w:rPr>
          <w:rFonts w:cstheme="minorHAnsi"/>
          <w:szCs w:val="24"/>
        </w:rPr>
      </w:pPr>
    </w:p>
    <w:p w:rsidR="008E283E" w:rsidRPr="00666362" w:rsidRDefault="008E283E" w:rsidP="008E283E">
      <w:pPr>
        <w:rPr>
          <w:rFonts w:cstheme="minorHAnsi"/>
          <w:szCs w:val="24"/>
        </w:rPr>
      </w:pPr>
    </w:p>
    <w:p w:rsidR="00756CB7" w:rsidRPr="006E6E9A" w:rsidRDefault="00756CB7" w:rsidP="00C245E6">
      <w:pPr>
        <w:spacing w:line="240" w:lineRule="atLeast"/>
        <w:rPr>
          <w:rFonts w:ascii="Arial" w:hAnsi="Arial" w:cs="Arial"/>
          <w:color w:val="7F7F7F" w:themeColor="text1" w:themeTint="80"/>
          <w:sz w:val="24"/>
          <w:szCs w:val="24"/>
        </w:rPr>
      </w:pPr>
    </w:p>
    <w:sectPr w:rsidR="00756CB7" w:rsidRPr="006E6E9A" w:rsidSect="00766B0F">
      <w:headerReference w:type="default" r:id="rId9"/>
      <w:footerReference w:type="default" r:id="rId10"/>
      <w:pgSz w:w="12240" w:h="18720"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894" w:rsidRDefault="00DB0894" w:rsidP="007C28E9">
      <w:pPr>
        <w:spacing w:after="0" w:line="240" w:lineRule="auto"/>
      </w:pPr>
      <w:r>
        <w:separator/>
      </w:r>
    </w:p>
  </w:endnote>
  <w:endnote w:type="continuationSeparator" w:id="0">
    <w:p w:rsidR="00DB0894" w:rsidRDefault="00DB0894" w:rsidP="007C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DA" w:rsidRPr="00895916" w:rsidRDefault="002247DA" w:rsidP="008A1520">
    <w:pPr>
      <w:pStyle w:val="Piedepgina"/>
      <w:pBdr>
        <w:bottom w:val="single" w:sz="12" w:space="1" w:color="auto"/>
      </w:pBdr>
      <w:jc w:val="center"/>
      <w:rPr>
        <w:sz w:val="12"/>
        <w:szCs w:val="12"/>
      </w:rPr>
    </w:pPr>
  </w:p>
  <w:p w:rsidR="002247DA" w:rsidRDefault="00E55D84" w:rsidP="00766B0F">
    <w:pPr>
      <w:pStyle w:val="Piedepgina"/>
      <w:jc w:val="center"/>
      <w:rPr>
        <w:sz w:val="20"/>
        <w:szCs w:val="20"/>
      </w:rPr>
    </w:pPr>
    <w:r>
      <w:rPr>
        <w:sz w:val="20"/>
        <w:szCs w:val="20"/>
      </w:rPr>
      <w:t>P</w:t>
    </w:r>
    <w:r w:rsidR="002247DA">
      <w:rPr>
        <w:sz w:val="20"/>
        <w:szCs w:val="20"/>
      </w:rPr>
      <w:t>rocuraduría General de la Nación PBX: 5878750 Exts.12096, 12024 a 12034 Cra.5 No.15-80 Piso 20</w:t>
    </w:r>
  </w:p>
  <w:p w:rsidR="002247DA" w:rsidRDefault="00DB0894" w:rsidP="00766B0F">
    <w:pPr>
      <w:pStyle w:val="Piedepgina"/>
      <w:jc w:val="center"/>
      <w:rPr>
        <w:sz w:val="20"/>
        <w:szCs w:val="20"/>
      </w:rPr>
    </w:pPr>
    <w:hyperlink r:id="rId1" w:history="1">
      <w:r w:rsidR="002247DA" w:rsidRPr="00235B8A">
        <w:rPr>
          <w:rStyle w:val="Hipervnculo"/>
          <w:sz w:val="20"/>
          <w:szCs w:val="20"/>
        </w:rPr>
        <w:t>grupotransparencia@procuraduria.gov.co</w:t>
      </w:r>
    </w:hyperlink>
  </w:p>
  <w:p w:rsidR="002247DA" w:rsidRDefault="002247DA" w:rsidP="00295656">
    <w:pPr>
      <w:pStyle w:val="Piedepgina"/>
      <w:jc w:val="center"/>
      <w:rPr>
        <w:sz w:val="20"/>
        <w:szCs w:val="20"/>
      </w:rPr>
    </w:pPr>
  </w:p>
  <w:p w:rsidR="002247DA" w:rsidRDefault="002247DA" w:rsidP="00295656">
    <w:pPr>
      <w:pStyle w:val="Piedepgina"/>
      <w:jc w:val="center"/>
      <w:rPr>
        <w:sz w:val="20"/>
        <w:szCs w:val="20"/>
      </w:rPr>
    </w:pPr>
  </w:p>
  <w:p w:rsidR="002247DA" w:rsidRPr="00CA2E65" w:rsidRDefault="002247DA" w:rsidP="00295656">
    <w:pPr>
      <w:pStyle w:val="Piedepgina"/>
      <w:jc w:val="center"/>
      <w:rPr>
        <w:sz w:val="20"/>
        <w:szCs w:val="20"/>
      </w:rPr>
    </w:pPr>
  </w:p>
  <w:p w:rsidR="002247DA" w:rsidRDefault="002247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894" w:rsidRDefault="00DB0894" w:rsidP="007C28E9">
      <w:pPr>
        <w:spacing w:after="0" w:line="240" w:lineRule="auto"/>
      </w:pPr>
      <w:r>
        <w:separator/>
      </w:r>
    </w:p>
  </w:footnote>
  <w:footnote w:type="continuationSeparator" w:id="0">
    <w:p w:rsidR="00DB0894" w:rsidRDefault="00DB0894" w:rsidP="007C2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DA" w:rsidRDefault="002247DA">
    <w:pPr>
      <w:pStyle w:val="Encabezado"/>
    </w:pPr>
    <w:r>
      <w:ptab w:relativeTo="margin" w:alignment="center" w:leader="none"/>
    </w:r>
    <w:r>
      <w:rPr>
        <w:noProof/>
        <w:lang w:eastAsia="es-CO"/>
      </w:rPr>
      <w:drawing>
        <wp:inline distT="0" distB="0" distL="0" distR="0" wp14:anchorId="007AEA90" wp14:editId="0EB70DEA">
          <wp:extent cx="461176" cy="650377"/>
          <wp:effectExtent l="0" t="0" r="0" b="0"/>
          <wp:docPr id="9" name="Imagen 9" descr="untitle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17" cy="672152"/>
                  </a:xfrm>
                  <a:prstGeom prst="rect">
                    <a:avLst/>
                  </a:prstGeom>
                  <a:noFill/>
                  <a:ln>
                    <a:noFill/>
                  </a:ln>
                </pic:spPr>
              </pic:pic>
            </a:graphicData>
          </a:graphic>
        </wp:inline>
      </w:drawing>
    </w:r>
  </w:p>
  <w:p w:rsidR="002247DA" w:rsidRPr="009141A2" w:rsidRDefault="002247DA">
    <w:pPr>
      <w:pStyle w:val="Encabezado"/>
      <w:rPr>
        <w:sz w:val="12"/>
        <w:szCs w:val="12"/>
      </w:rPr>
    </w:pPr>
  </w:p>
  <w:p w:rsidR="002247DA" w:rsidRDefault="002247DA" w:rsidP="00765054">
    <w:pPr>
      <w:pStyle w:val="Encabezado"/>
      <w:rPr>
        <w:sz w:val="18"/>
      </w:rPr>
    </w:pPr>
    <w:r>
      <w:rPr>
        <w:sz w:val="18"/>
      </w:rPr>
      <w:tab/>
    </w:r>
    <w:r w:rsidRPr="009141A2">
      <w:rPr>
        <w:sz w:val="18"/>
      </w:rPr>
      <w:t>GRUPO DE TRANSPARENCIA</w:t>
    </w:r>
    <w:r w:rsidR="00E55D84">
      <w:rPr>
        <w:sz w:val="18"/>
      </w:rPr>
      <w:t>, INTEGRIDAD Y CULTURA DE LO PÚBLICO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6574D"/>
    <w:multiLevelType w:val="hybridMultilevel"/>
    <w:tmpl w:val="4B20938A"/>
    <w:lvl w:ilvl="0" w:tplc="A2228702">
      <w:start w:val="1"/>
      <w:numFmt w:val="decimal"/>
      <w:lvlText w:val="%1."/>
      <w:lvlJc w:val="left"/>
      <w:pPr>
        <w:ind w:left="360" w:hanging="360"/>
      </w:pPr>
      <w:rPr>
        <w:b/>
        <w:color w:val="3476B1" w:themeColor="accent2" w:themeShade="BF"/>
        <w:sz w:val="4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32C359F"/>
    <w:multiLevelType w:val="hybridMultilevel"/>
    <w:tmpl w:val="D29892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501AB0"/>
    <w:multiLevelType w:val="hybridMultilevel"/>
    <w:tmpl w:val="2FD8CE54"/>
    <w:lvl w:ilvl="0" w:tplc="5EEE3440">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6D5712"/>
    <w:multiLevelType w:val="hybridMultilevel"/>
    <w:tmpl w:val="4EF2F2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2C01D31"/>
    <w:multiLevelType w:val="hybridMultilevel"/>
    <w:tmpl w:val="417A35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33AC0509"/>
    <w:multiLevelType w:val="hybridMultilevel"/>
    <w:tmpl w:val="C0787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4EF6654"/>
    <w:multiLevelType w:val="hybridMultilevel"/>
    <w:tmpl w:val="5C4C4C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3EA505B9"/>
    <w:multiLevelType w:val="hybridMultilevel"/>
    <w:tmpl w:val="AB242B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21D09A8"/>
    <w:multiLevelType w:val="hybridMultilevel"/>
    <w:tmpl w:val="6818EBC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43071B3C"/>
    <w:multiLevelType w:val="hybridMultilevel"/>
    <w:tmpl w:val="A970CB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BAC2612"/>
    <w:multiLevelType w:val="hybridMultilevel"/>
    <w:tmpl w:val="69D0BCF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62995746"/>
    <w:multiLevelType w:val="hybridMultilevel"/>
    <w:tmpl w:val="E3D28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43D480E"/>
    <w:multiLevelType w:val="hybridMultilevel"/>
    <w:tmpl w:val="F0520CE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6BA327AE"/>
    <w:multiLevelType w:val="hybridMultilevel"/>
    <w:tmpl w:val="9DEAC4FE"/>
    <w:lvl w:ilvl="0" w:tplc="B010F696">
      <w:start w:val="2016"/>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D5513C7"/>
    <w:multiLevelType w:val="hybridMultilevel"/>
    <w:tmpl w:val="F7D09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EE21BDE"/>
    <w:multiLevelType w:val="hybridMultilevel"/>
    <w:tmpl w:val="91305FB2"/>
    <w:lvl w:ilvl="0" w:tplc="240A000F">
      <w:start w:val="1"/>
      <w:numFmt w:val="decimal"/>
      <w:lvlText w:val="%1."/>
      <w:lvlJc w:val="left"/>
      <w:pPr>
        <w:ind w:left="2520" w:hanging="360"/>
      </w:pPr>
    </w:lvl>
    <w:lvl w:ilvl="1" w:tplc="240A0019">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6">
    <w:nsid w:val="78EF4A27"/>
    <w:multiLevelType w:val="hybridMultilevel"/>
    <w:tmpl w:val="87487452"/>
    <w:lvl w:ilvl="0" w:tplc="B3CAFA50">
      <w:start w:val="5"/>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91A3BF9"/>
    <w:multiLevelType w:val="hybridMultilevel"/>
    <w:tmpl w:val="E05A7A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E9E57F8"/>
    <w:multiLevelType w:val="hybridMultilevel"/>
    <w:tmpl w:val="F7D09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17"/>
  </w:num>
  <w:num w:numId="6">
    <w:abstractNumId w:val="15"/>
  </w:num>
  <w:num w:numId="7">
    <w:abstractNumId w:val="12"/>
  </w:num>
  <w:num w:numId="8">
    <w:abstractNumId w:val="8"/>
  </w:num>
  <w:num w:numId="9">
    <w:abstractNumId w:val="10"/>
  </w:num>
  <w:num w:numId="10">
    <w:abstractNumId w:val="11"/>
  </w:num>
  <w:num w:numId="11">
    <w:abstractNumId w:val="14"/>
  </w:num>
  <w:num w:numId="12">
    <w:abstractNumId w:val="18"/>
  </w:num>
  <w:num w:numId="13">
    <w:abstractNumId w:val="16"/>
  </w:num>
  <w:num w:numId="14">
    <w:abstractNumId w:val="6"/>
  </w:num>
  <w:num w:numId="15">
    <w:abstractNumId w:val="9"/>
  </w:num>
  <w:num w:numId="16">
    <w:abstractNumId w:val="2"/>
  </w:num>
  <w:num w:numId="17">
    <w:abstractNumId w:val="7"/>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03"/>
    <w:rsid w:val="00011760"/>
    <w:rsid w:val="000169DC"/>
    <w:rsid w:val="00020AF1"/>
    <w:rsid w:val="000221E4"/>
    <w:rsid w:val="00040E72"/>
    <w:rsid w:val="00051DEC"/>
    <w:rsid w:val="0005560D"/>
    <w:rsid w:val="000616EA"/>
    <w:rsid w:val="00063034"/>
    <w:rsid w:val="000650A8"/>
    <w:rsid w:val="0007310F"/>
    <w:rsid w:val="00076C2C"/>
    <w:rsid w:val="0009170A"/>
    <w:rsid w:val="000B10E1"/>
    <w:rsid w:val="000B78C5"/>
    <w:rsid w:val="000C5B56"/>
    <w:rsid w:val="000C7EEE"/>
    <w:rsid w:val="000D4016"/>
    <w:rsid w:val="000E1C41"/>
    <w:rsid w:val="000E2B5B"/>
    <w:rsid w:val="000E3716"/>
    <w:rsid w:val="000E5C48"/>
    <w:rsid w:val="000F1197"/>
    <w:rsid w:val="000F2DD1"/>
    <w:rsid w:val="000F45FD"/>
    <w:rsid w:val="00104A89"/>
    <w:rsid w:val="001100ED"/>
    <w:rsid w:val="00114DAE"/>
    <w:rsid w:val="001239B4"/>
    <w:rsid w:val="00133466"/>
    <w:rsid w:val="00134CD7"/>
    <w:rsid w:val="00143BD5"/>
    <w:rsid w:val="00143F4D"/>
    <w:rsid w:val="0015730A"/>
    <w:rsid w:val="00161426"/>
    <w:rsid w:val="0016195D"/>
    <w:rsid w:val="0016611B"/>
    <w:rsid w:val="00167F4E"/>
    <w:rsid w:val="001947CF"/>
    <w:rsid w:val="001D4FD0"/>
    <w:rsid w:val="001D7498"/>
    <w:rsid w:val="001E2570"/>
    <w:rsid w:val="001F2638"/>
    <w:rsid w:val="001F406E"/>
    <w:rsid w:val="001F5C35"/>
    <w:rsid w:val="00200715"/>
    <w:rsid w:val="00200DBD"/>
    <w:rsid w:val="00204DDA"/>
    <w:rsid w:val="00212012"/>
    <w:rsid w:val="002152B5"/>
    <w:rsid w:val="00215609"/>
    <w:rsid w:val="002247DA"/>
    <w:rsid w:val="00225B7D"/>
    <w:rsid w:val="002266CF"/>
    <w:rsid w:val="00234814"/>
    <w:rsid w:val="00235CED"/>
    <w:rsid w:val="00244FFD"/>
    <w:rsid w:val="0024724D"/>
    <w:rsid w:val="00252831"/>
    <w:rsid w:val="00254ADE"/>
    <w:rsid w:val="00264554"/>
    <w:rsid w:val="00266A9E"/>
    <w:rsid w:val="002716F1"/>
    <w:rsid w:val="00280561"/>
    <w:rsid w:val="00284009"/>
    <w:rsid w:val="002879C6"/>
    <w:rsid w:val="0029277F"/>
    <w:rsid w:val="00295656"/>
    <w:rsid w:val="002A7A1D"/>
    <w:rsid w:val="002C1E40"/>
    <w:rsid w:val="002D0550"/>
    <w:rsid w:val="002D2DC9"/>
    <w:rsid w:val="002E2252"/>
    <w:rsid w:val="002E28CF"/>
    <w:rsid w:val="002E468F"/>
    <w:rsid w:val="002F20E2"/>
    <w:rsid w:val="002F2FA2"/>
    <w:rsid w:val="002F601B"/>
    <w:rsid w:val="00304948"/>
    <w:rsid w:val="003073AC"/>
    <w:rsid w:val="0031175C"/>
    <w:rsid w:val="0032544A"/>
    <w:rsid w:val="00326BF8"/>
    <w:rsid w:val="00327259"/>
    <w:rsid w:val="00331CF3"/>
    <w:rsid w:val="00334FEB"/>
    <w:rsid w:val="00335BEC"/>
    <w:rsid w:val="003579CB"/>
    <w:rsid w:val="0037559F"/>
    <w:rsid w:val="00375C4D"/>
    <w:rsid w:val="00377AD5"/>
    <w:rsid w:val="00383249"/>
    <w:rsid w:val="00384E07"/>
    <w:rsid w:val="003942A4"/>
    <w:rsid w:val="003A001A"/>
    <w:rsid w:val="003D0004"/>
    <w:rsid w:val="003D0CEC"/>
    <w:rsid w:val="003D7DE7"/>
    <w:rsid w:val="003E55A8"/>
    <w:rsid w:val="003F1BD3"/>
    <w:rsid w:val="003F1C82"/>
    <w:rsid w:val="003F3D76"/>
    <w:rsid w:val="004102D0"/>
    <w:rsid w:val="00411490"/>
    <w:rsid w:val="0042505E"/>
    <w:rsid w:val="004277B6"/>
    <w:rsid w:val="00432215"/>
    <w:rsid w:val="00440A2F"/>
    <w:rsid w:val="004416B6"/>
    <w:rsid w:val="00451C74"/>
    <w:rsid w:val="004538DF"/>
    <w:rsid w:val="0045506B"/>
    <w:rsid w:val="00461F6B"/>
    <w:rsid w:val="004620EC"/>
    <w:rsid w:val="0046720A"/>
    <w:rsid w:val="00467349"/>
    <w:rsid w:val="004722E1"/>
    <w:rsid w:val="00482421"/>
    <w:rsid w:val="00495DFC"/>
    <w:rsid w:val="004B4AE4"/>
    <w:rsid w:val="004C388E"/>
    <w:rsid w:val="004C5EE8"/>
    <w:rsid w:val="004D2550"/>
    <w:rsid w:val="004E2764"/>
    <w:rsid w:val="004E7C40"/>
    <w:rsid w:val="004F3D47"/>
    <w:rsid w:val="00501C31"/>
    <w:rsid w:val="005061C0"/>
    <w:rsid w:val="005069DB"/>
    <w:rsid w:val="0051033D"/>
    <w:rsid w:val="00514356"/>
    <w:rsid w:val="0053186C"/>
    <w:rsid w:val="005349DD"/>
    <w:rsid w:val="00544284"/>
    <w:rsid w:val="005560F0"/>
    <w:rsid w:val="00565C82"/>
    <w:rsid w:val="0057104A"/>
    <w:rsid w:val="00575DB8"/>
    <w:rsid w:val="00580103"/>
    <w:rsid w:val="005808F9"/>
    <w:rsid w:val="00580ACF"/>
    <w:rsid w:val="00591973"/>
    <w:rsid w:val="0059278B"/>
    <w:rsid w:val="005A5BB5"/>
    <w:rsid w:val="005A7707"/>
    <w:rsid w:val="005B04CE"/>
    <w:rsid w:val="005B125C"/>
    <w:rsid w:val="005B5756"/>
    <w:rsid w:val="005C40CC"/>
    <w:rsid w:val="005D4912"/>
    <w:rsid w:val="005E449C"/>
    <w:rsid w:val="00603D72"/>
    <w:rsid w:val="0060512E"/>
    <w:rsid w:val="006064CB"/>
    <w:rsid w:val="006102F1"/>
    <w:rsid w:val="00615048"/>
    <w:rsid w:val="00625A9C"/>
    <w:rsid w:val="00634CCE"/>
    <w:rsid w:val="006419BC"/>
    <w:rsid w:val="006450A7"/>
    <w:rsid w:val="006474E2"/>
    <w:rsid w:val="006543CD"/>
    <w:rsid w:val="00666594"/>
    <w:rsid w:val="00667D79"/>
    <w:rsid w:val="00675C4C"/>
    <w:rsid w:val="00677AC4"/>
    <w:rsid w:val="006845C0"/>
    <w:rsid w:val="006C4E1D"/>
    <w:rsid w:val="006D68CA"/>
    <w:rsid w:val="006E059D"/>
    <w:rsid w:val="006E317D"/>
    <w:rsid w:val="006E5788"/>
    <w:rsid w:val="006E6722"/>
    <w:rsid w:val="006E6E9A"/>
    <w:rsid w:val="006F092E"/>
    <w:rsid w:val="006F7851"/>
    <w:rsid w:val="00722F07"/>
    <w:rsid w:val="00724450"/>
    <w:rsid w:val="0072662D"/>
    <w:rsid w:val="00743479"/>
    <w:rsid w:val="00756CB7"/>
    <w:rsid w:val="00762DE5"/>
    <w:rsid w:val="007638C2"/>
    <w:rsid w:val="007642C8"/>
    <w:rsid w:val="00765054"/>
    <w:rsid w:val="0076535B"/>
    <w:rsid w:val="00766B0F"/>
    <w:rsid w:val="00767E67"/>
    <w:rsid w:val="00770B93"/>
    <w:rsid w:val="00771C7B"/>
    <w:rsid w:val="00775772"/>
    <w:rsid w:val="007800E6"/>
    <w:rsid w:val="007C06B0"/>
    <w:rsid w:val="007C1AC8"/>
    <w:rsid w:val="007C28E9"/>
    <w:rsid w:val="007C74CC"/>
    <w:rsid w:val="007D3DDA"/>
    <w:rsid w:val="007D463E"/>
    <w:rsid w:val="007F1BB8"/>
    <w:rsid w:val="007F239D"/>
    <w:rsid w:val="008034A8"/>
    <w:rsid w:val="008048BC"/>
    <w:rsid w:val="00804C50"/>
    <w:rsid w:val="00813CC9"/>
    <w:rsid w:val="00813F48"/>
    <w:rsid w:val="00817401"/>
    <w:rsid w:val="008249F5"/>
    <w:rsid w:val="00824FAD"/>
    <w:rsid w:val="0082570D"/>
    <w:rsid w:val="00841CEF"/>
    <w:rsid w:val="00845385"/>
    <w:rsid w:val="00865802"/>
    <w:rsid w:val="00895916"/>
    <w:rsid w:val="008A1520"/>
    <w:rsid w:val="008A77EC"/>
    <w:rsid w:val="008B4AFD"/>
    <w:rsid w:val="008B5477"/>
    <w:rsid w:val="008B7D6F"/>
    <w:rsid w:val="008D3812"/>
    <w:rsid w:val="008D5F35"/>
    <w:rsid w:val="008D69B7"/>
    <w:rsid w:val="008E283E"/>
    <w:rsid w:val="008E4247"/>
    <w:rsid w:val="008E6066"/>
    <w:rsid w:val="008E7A79"/>
    <w:rsid w:val="008F4C6B"/>
    <w:rsid w:val="0090030E"/>
    <w:rsid w:val="00907CFD"/>
    <w:rsid w:val="00910A3C"/>
    <w:rsid w:val="00912695"/>
    <w:rsid w:val="009141A2"/>
    <w:rsid w:val="0092724C"/>
    <w:rsid w:val="00932B9D"/>
    <w:rsid w:val="00933587"/>
    <w:rsid w:val="00935968"/>
    <w:rsid w:val="00945459"/>
    <w:rsid w:val="0094627D"/>
    <w:rsid w:val="00950EF7"/>
    <w:rsid w:val="0096295C"/>
    <w:rsid w:val="009652D9"/>
    <w:rsid w:val="0097227B"/>
    <w:rsid w:val="00984FD9"/>
    <w:rsid w:val="00997507"/>
    <w:rsid w:val="009A69AA"/>
    <w:rsid w:val="009B7897"/>
    <w:rsid w:val="009C3491"/>
    <w:rsid w:val="009D4678"/>
    <w:rsid w:val="009E79F1"/>
    <w:rsid w:val="00A117FD"/>
    <w:rsid w:val="00A11814"/>
    <w:rsid w:val="00A202CE"/>
    <w:rsid w:val="00A6208C"/>
    <w:rsid w:val="00A76A25"/>
    <w:rsid w:val="00A859E7"/>
    <w:rsid w:val="00A9615E"/>
    <w:rsid w:val="00AA1FF9"/>
    <w:rsid w:val="00AB0393"/>
    <w:rsid w:val="00AB24D9"/>
    <w:rsid w:val="00AC1C6D"/>
    <w:rsid w:val="00AC6664"/>
    <w:rsid w:val="00AD1009"/>
    <w:rsid w:val="00AD3386"/>
    <w:rsid w:val="00AD78E3"/>
    <w:rsid w:val="00AE0DAB"/>
    <w:rsid w:val="00AE400E"/>
    <w:rsid w:val="00AF0A2D"/>
    <w:rsid w:val="00AF49D9"/>
    <w:rsid w:val="00B02308"/>
    <w:rsid w:val="00B075EF"/>
    <w:rsid w:val="00B12E85"/>
    <w:rsid w:val="00B152AF"/>
    <w:rsid w:val="00B251D5"/>
    <w:rsid w:val="00B449C8"/>
    <w:rsid w:val="00B501F7"/>
    <w:rsid w:val="00B51BE2"/>
    <w:rsid w:val="00B5359D"/>
    <w:rsid w:val="00B548A4"/>
    <w:rsid w:val="00B703E7"/>
    <w:rsid w:val="00B822B0"/>
    <w:rsid w:val="00B934A5"/>
    <w:rsid w:val="00B93797"/>
    <w:rsid w:val="00B948B6"/>
    <w:rsid w:val="00BA0C5D"/>
    <w:rsid w:val="00BB3BF0"/>
    <w:rsid w:val="00BB662F"/>
    <w:rsid w:val="00BC6A55"/>
    <w:rsid w:val="00BC77CB"/>
    <w:rsid w:val="00BD0E45"/>
    <w:rsid w:val="00BD3706"/>
    <w:rsid w:val="00BE7C1F"/>
    <w:rsid w:val="00C011E1"/>
    <w:rsid w:val="00C13B28"/>
    <w:rsid w:val="00C16905"/>
    <w:rsid w:val="00C21780"/>
    <w:rsid w:val="00C245E6"/>
    <w:rsid w:val="00C253EB"/>
    <w:rsid w:val="00C43E29"/>
    <w:rsid w:val="00C5049C"/>
    <w:rsid w:val="00C6784B"/>
    <w:rsid w:val="00C7181B"/>
    <w:rsid w:val="00C718B0"/>
    <w:rsid w:val="00C83534"/>
    <w:rsid w:val="00C85119"/>
    <w:rsid w:val="00C87ECC"/>
    <w:rsid w:val="00CA069B"/>
    <w:rsid w:val="00CA1794"/>
    <w:rsid w:val="00CA1C67"/>
    <w:rsid w:val="00CA6C0D"/>
    <w:rsid w:val="00CB1A6B"/>
    <w:rsid w:val="00CD39D2"/>
    <w:rsid w:val="00CE04FF"/>
    <w:rsid w:val="00CF4F1C"/>
    <w:rsid w:val="00D2291A"/>
    <w:rsid w:val="00D241B9"/>
    <w:rsid w:val="00D2516F"/>
    <w:rsid w:val="00D25F3B"/>
    <w:rsid w:val="00D355F9"/>
    <w:rsid w:val="00D36154"/>
    <w:rsid w:val="00D62D05"/>
    <w:rsid w:val="00D64970"/>
    <w:rsid w:val="00D80D5A"/>
    <w:rsid w:val="00D8316E"/>
    <w:rsid w:val="00D86B65"/>
    <w:rsid w:val="00DA2DED"/>
    <w:rsid w:val="00DA4A51"/>
    <w:rsid w:val="00DB0894"/>
    <w:rsid w:val="00DB4F52"/>
    <w:rsid w:val="00DB73CA"/>
    <w:rsid w:val="00DC16ED"/>
    <w:rsid w:val="00DC4125"/>
    <w:rsid w:val="00DD0105"/>
    <w:rsid w:val="00DD4033"/>
    <w:rsid w:val="00DD72E8"/>
    <w:rsid w:val="00DD7469"/>
    <w:rsid w:val="00DE3AFC"/>
    <w:rsid w:val="00DE3D11"/>
    <w:rsid w:val="00DE46CE"/>
    <w:rsid w:val="00DF705B"/>
    <w:rsid w:val="00DF71A7"/>
    <w:rsid w:val="00E01EA3"/>
    <w:rsid w:val="00E06D70"/>
    <w:rsid w:val="00E12B97"/>
    <w:rsid w:val="00E23DDC"/>
    <w:rsid w:val="00E25ABA"/>
    <w:rsid w:val="00E36A3B"/>
    <w:rsid w:val="00E439E4"/>
    <w:rsid w:val="00E51D80"/>
    <w:rsid w:val="00E55D84"/>
    <w:rsid w:val="00E607F4"/>
    <w:rsid w:val="00E671AA"/>
    <w:rsid w:val="00E714BE"/>
    <w:rsid w:val="00E77E6E"/>
    <w:rsid w:val="00E9080A"/>
    <w:rsid w:val="00E9602B"/>
    <w:rsid w:val="00EA28AE"/>
    <w:rsid w:val="00EA5A3D"/>
    <w:rsid w:val="00EA5EF5"/>
    <w:rsid w:val="00EA75A9"/>
    <w:rsid w:val="00EB2279"/>
    <w:rsid w:val="00EB42E0"/>
    <w:rsid w:val="00EC4E2F"/>
    <w:rsid w:val="00ED1E65"/>
    <w:rsid w:val="00ED6922"/>
    <w:rsid w:val="00EE2C6E"/>
    <w:rsid w:val="00EE3AA7"/>
    <w:rsid w:val="00EF0E7E"/>
    <w:rsid w:val="00EF28BF"/>
    <w:rsid w:val="00F009C3"/>
    <w:rsid w:val="00F03E33"/>
    <w:rsid w:val="00F04DDC"/>
    <w:rsid w:val="00F05563"/>
    <w:rsid w:val="00F11B60"/>
    <w:rsid w:val="00F14689"/>
    <w:rsid w:val="00F14A18"/>
    <w:rsid w:val="00F31687"/>
    <w:rsid w:val="00F34C90"/>
    <w:rsid w:val="00F431B3"/>
    <w:rsid w:val="00F44753"/>
    <w:rsid w:val="00F46CAD"/>
    <w:rsid w:val="00F50689"/>
    <w:rsid w:val="00F56992"/>
    <w:rsid w:val="00F85326"/>
    <w:rsid w:val="00F92662"/>
    <w:rsid w:val="00FB5757"/>
    <w:rsid w:val="00FC0708"/>
    <w:rsid w:val="00FC74E6"/>
    <w:rsid w:val="00FD24E0"/>
    <w:rsid w:val="00FD283F"/>
    <w:rsid w:val="00FD6EB0"/>
    <w:rsid w:val="00FD7C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3E55B0-B8CE-4E59-8FC8-87AD1AEF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0103"/>
    <w:pPr>
      <w:spacing w:before="100" w:beforeAutospacing="1" w:after="100" w:afterAutospacing="1" w:line="240" w:lineRule="auto"/>
    </w:pPr>
    <w:rPr>
      <w:rFonts w:ascii="Times New Roman" w:hAnsi="Times New Roman" w:cs="Times New Roman"/>
      <w:sz w:val="24"/>
      <w:szCs w:val="24"/>
      <w:lang w:eastAsia="es-CO"/>
    </w:rPr>
  </w:style>
  <w:style w:type="paragraph" w:customStyle="1" w:styleId="Default">
    <w:name w:val="Default"/>
    <w:uiPriority w:val="99"/>
    <w:semiHidden/>
    <w:rsid w:val="00580103"/>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80103"/>
    <w:pPr>
      <w:spacing w:after="0" w:line="240" w:lineRule="auto"/>
      <w:ind w:left="720"/>
      <w:contextualSpacing/>
    </w:pPr>
    <w:rPr>
      <w:rFonts w:ascii="Times New Roman" w:hAnsi="Times New Roman" w:cs="Times New Roman"/>
      <w:sz w:val="24"/>
      <w:szCs w:val="24"/>
      <w:lang w:eastAsia="es-CO"/>
    </w:rPr>
  </w:style>
  <w:style w:type="character" w:styleId="Hipervnculo">
    <w:name w:val="Hyperlink"/>
    <w:basedOn w:val="Fuentedeprrafopredeter"/>
    <w:uiPriority w:val="99"/>
    <w:unhideWhenUsed/>
    <w:rsid w:val="00580103"/>
    <w:rPr>
      <w:color w:val="9454C3" w:themeColor="hyperlink"/>
      <w:u w:val="single"/>
    </w:rPr>
  </w:style>
  <w:style w:type="paragraph" w:styleId="Textodeglobo">
    <w:name w:val="Balloon Text"/>
    <w:basedOn w:val="Normal"/>
    <w:link w:val="TextodegloboCar"/>
    <w:uiPriority w:val="99"/>
    <w:semiHidden/>
    <w:unhideWhenUsed/>
    <w:rsid w:val="00763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8C2"/>
    <w:rPr>
      <w:rFonts w:ascii="Segoe UI" w:hAnsi="Segoe UI" w:cs="Segoe UI"/>
      <w:sz w:val="18"/>
      <w:szCs w:val="18"/>
    </w:rPr>
  </w:style>
  <w:style w:type="character" w:styleId="Refdecomentario">
    <w:name w:val="annotation reference"/>
    <w:basedOn w:val="Fuentedeprrafopredeter"/>
    <w:uiPriority w:val="99"/>
    <w:semiHidden/>
    <w:unhideWhenUsed/>
    <w:rsid w:val="000B78C5"/>
    <w:rPr>
      <w:sz w:val="16"/>
      <w:szCs w:val="16"/>
    </w:rPr>
  </w:style>
  <w:style w:type="paragraph" w:styleId="Textocomentario">
    <w:name w:val="annotation text"/>
    <w:basedOn w:val="Normal"/>
    <w:link w:val="TextocomentarioCar"/>
    <w:uiPriority w:val="99"/>
    <w:semiHidden/>
    <w:unhideWhenUsed/>
    <w:rsid w:val="000B78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8C5"/>
    <w:rPr>
      <w:sz w:val="20"/>
      <w:szCs w:val="20"/>
    </w:rPr>
  </w:style>
  <w:style w:type="paragraph" w:styleId="Asuntodelcomentario">
    <w:name w:val="annotation subject"/>
    <w:basedOn w:val="Textocomentario"/>
    <w:next w:val="Textocomentario"/>
    <w:link w:val="AsuntodelcomentarioCar"/>
    <w:uiPriority w:val="99"/>
    <w:semiHidden/>
    <w:unhideWhenUsed/>
    <w:rsid w:val="000B78C5"/>
    <w:rPr>
      <w:b/>
      <w:bCs/>
    </w:rPr>
  </w:style>
  <w:style w:type="character" w:customStyle="1" w:styleId="AsuntodelcomentarioCar">
    <w:name w:val="Asunto del comentario Car"/>
    <w:basedOn w:val="TextocomentarioCar"/>
    <w:link w:val="Asuntodelcomentario"/>
    <w:uiPriority w:val="99"/>
    <w:semiHidden/>
    <w:rsid w:val="000B78C5"/>
    <w:rPr>
      <w:b/>
      <w:bCs/>
      <w:sz w:val="20"/>
      <w:szCs w:val="20"/>
    </w:rPr>
  </w:style>
  <w:style w:type="paragraph" w:styleId="Encabezado">
    <w:name w:val="header"/>
    <w:basedOn w:val="Normal"/>
    <w:link w:val="EncabezadoCar"/>
    <w:uiPriority w:val="99"/>
    <w:unhideWhenUsed/>
    <w:rsid w:val="007C28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28E9"/>
  </w:style>
  <w:style w:type="paragraph" w:styleId="Piedepgina">
    <w:name w:val="footer"/>
    <w:basedOn w:val="Normal"/>
    <w:link w:val="PiedepginaCar"/>
    <w:unhideWhenUsed/>
    <w:rsid w:val="007C28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28E9"/>
  </w:style>
  <w:style w:type="paragraph" w:styleId="Sinespaciado">
    <w:name w:val="No Spacing"/>
    <w:uiPriority w:val="1"/>
    <w:qFormat/>
    <w:rsid w:val="00756CB7"/>
    <w:pPr>
      <w:spacing w:after="0" w:line="240" w:lineRule="auto"/>
    </w:pPr>
  </w:style>
  <w:style w:type="paragraph" w:customStyle="1" w:styleId="xmsonormal">
    <w:name w:val="x_msonormal"/>
    <w:basedOn w:val="Normal"/>
    <w:rsid w:val="008E283E"/>
    <w:pPr>
      <w:spacing w:before="100" w:beforeAutospacing="1" w:after="100" w:afterAutospacing="1" w:line="240" w:lineRule="auto"/>
    </w:pPr>
    <w:rPr>
      <w:rFonts w:ascii="Times New Roman" w:hAnsi="Times New Roman" w:cs="Times New Roman"/>
      <w:sz w:val="24"/>
      <w:szCs w:val="24"/>
      <w:lang w:eastAsia="es-CO"/>
    </w:rPr>
  </w:style>
  <w:style w:type="table" w:styleId="Tablaconcuadrcula">
    <w:name w:val="Table Grid"/>
    <w:basedOn w:val="Tablanormal"/>
    <w:uiPriority w:val="39"/>
    <w:rsid w:val="008E2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40472">
      <w:bodyDiv w:val="1"/>
      <w:marLeft w:val="0"/>
      <w:marRight w:val="0"/>
      <w:marTop w:val="0"/>
      <w:marBottom w:val="0"/>
      <w:divBdr>
        <w:top w:val="none" w:sz="0" w:space="0" w:color="auto"/>
        <w:left w:val="none" w:sz="0" w:space="0" w:color="auto"/>
        <w:bottom w:val="none" w:sz="0" w:space="0" w:color="auto"/>
        <w:right w:val="none" w:sz="0" w:space="0" w:color="auto"/>
      </w:divBdr>
    </w:div>
    <w:div w:id="907882459">
      <w:bodyDiv w:val="1"/>
      <w:marLeft w:val="0"/>
      <w:marRight w:val="0"/>
      <w:marTop w:val="0"/>
      <w:marBottom w:val="0"/>
      <w:divBdr>
        <w:top w:val="none" w:sz="0" w:space="0" w:color="auto"/>
        <w:left w:val="none" w:sz="0" w:space="0" w:color="auto"/>
        <w:bottom w:val="none" w:sz="0" w:space="0" w:color="auto"/>
        <w:right w:val="none" w:sz="0" w:space="0" w:color="auto"/>
      </w:divBdr>
    </w:div>
    <w:div w:id="13718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aduria.gov.co/SedeElectronica/tramites/browser.do;jsessionid=36B072F0CFABF0D240EBCE3FB2D699B8.jvm1"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310A0-5F41-4242-B08C-97181D4292ED}"/>
</file>

<file path=customXml/itemProps2.xml><?xml version="1.0" encoding="utf-8"?>
<ds:datastoreItem xmlns:ds="http://schemas.openxmlformats.org/officeDocument/2006/customXml" ds:itemID="{ADE76FC4-166F-4A0F-8EF0-A016C5C41C5C}"/>
</file>

<file path=customXml/itemProps3.xml><?xml version="1.0" encoding="utf-8"?>
<ds:datastoreItem xmlns:ds="http://schemas.openxmlformats.org/officeDocument/2006/customXml" ds:itemID="{CB5A8B2F-D454-4484-89E2-7DE78D6FD724}"/>
</file>

<file path=customXml/itemProps4.xml><?xml version="1.0" encoding="utf-8"?>
<ds:datastoreItem xmlns:ds="http://schemas.openxmlformats.org/officeDocument/2006/customXml" ds:itemID="{FB533F1A-6A93-4F56-A5D1-726AE3490E94}"/>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10996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Tatiana Obando Olaya</dc:creator>
  <cp:keywords/>
  <dc:description/>
  <cp:lastModifiedBy>Maria Teresa Molina Villalobos</cp:lastModifiedBy>
  <cp:revision>2</cp:revision>
  <cp:lastPrinted>2017-10-04T14:20:00Z</cp:lastPrinted>
  <dcterms:created xsi:type="dcterms:W3CDTF">2018-03-07T15:20:00Z</dcterms:created>
  <dcterms:modified xsi:type="dcterms:W3CDTF">2018-03-07T15:20:00Z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0x010100D8EF8584FAD5E54D9C6B8E283355D3F1</vt:lpwstr>
  </property>
</Properties>
</file>