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4C9" w:rsidRPr="00975749" w:rsidRDefault="003A74C9">
      <w:pPr>
        <w:pStyle w:val="TitleCover"/>
        <w:rPr>
          <w:sz w:val="24"/>
          <w:szCs w:val="24"/>
        </w:rPr>
      </w:pPr>
      <w:bookmarkStart w:id="0" w:name="_GoBack"/>
      <w:bookmarkEnd w:id="0"/>
    </w:p>
    <w:p w:rsidR="00A5235E" w:rsidRPr="00A5235E" w:rsidRDefault="00A5235E" w:rsidP="00A5235E">
      <w:pPr>
        <w:pStyle w:val="SubtitleCover"/>
      </w:pPr>
    </w:p>
    <w:p w:rsidR="003A74C9" w:rsidRPr="00DE3430" w:rsidRDefault="00DE3430">
      <w:pPr>
        <w:pStyle w:val="TitleCover"/>
        <w:rPr>
          <w:sz w:val="32"/>
          <w:szCs w:val="32"/>
        </w:rPr>
      </w:pPr>
      <w:r w:rsidRPr="00DE3430">
        <w:rPr>
          <w:sz w:val="32"/>
          <w:szCs w:val="32"/>
        </w:rPr>
        <w:t>Grupo de Transparencia y del Derecho de Acceso a la Información Pública</w:t>
      </w:r>
    </w:p>
    <w:p w:rsidR="005B72BA" w:rsidRDefault="005B72BA" w:rsidP="005B72BA">
      <w:pPr>
        <w:pStyle w:val="TitleCover"/>
        <w:tabs>
          <w:tab w:val="center" w:pos="4320"/>
        </w:tabs>
        <w:jc w:val="left"/>
      </w:pPr>
    </w:p>
    <w:p w:rsidR="00975749" w:rsidRPr="00975749" w:rsidRDefault="00975749" w:rsidP="00975749">
      <w:pPr>
        <w:pStyle w:val="SubtitleCover"/>
      </w:pPr>
    </w:p>
    <w:p w:rsidR="00975749" w:rsidRDefault="00975749" w:rsidP="00975749">
      <w:pPr>
        <w:pStyle w:val="TitleCover"/>
        <w:tabs>
          <w:tab w:val="center" w:pos="4320"/>
        </w:tabs>
        <w:jc w:val="left"/>
      </w:pPr>
      <w:r>
        <w:tab/>
        <w:t>informe de gestión</w:t>
      </w:r>
    </w:p>
    <w:p w:rsidR="00975749" w:rsidRDefault="00975749" w:rsidP="00975749">
      <w:pPr>
        <w:pStyle w:val="TitleCover"/>
      </w:pPr>
      <w:r>
        <w:t>I S</w:t>
      </w:r>
      <w:r>
        <w:rPr>
          <w:caps w:val="0"/>
        </w:rPr>
        <w:t xml:space="preserve">emestre de </w:t>
      </w:r>
      <w:r>
        <w:t>2016</w:t>
      </w:r>
    </w:p>
    <w:p w:rsidR="005B72BA" w:rsidRDefault="005B72BA" w:rsidP="005B72BA">
      <w:pPr>
        <w:pStyle w:val="TitleCover"/>
        <w:tabs>
          <w:tab w:val="center" w:pos="4320"/>
        </w:tabs>
        <w:jc w:val="left"/>
      </w:pPr>
    </w:p>
    <w:p w:rsidR="00975749" w:rsidRDefault="00975749" w:rsidP="00975749">
      <w:pPr>
        <w:pStyle w:val="SubtitleCover"/>
      </w:pPr>
    </w:p>
    <w:p w:rsidR="00975749" w:rsidRDefault="00975749" w:rsidP="00975749">
      <w:pPr>
        <w:pStyle w:val="SubtitleCover"/>
      </w:pPr>
    </w:p>
    <w:p w:rsidR="00975749" w:rsidRPr="00D361F1" w:rsidRDefault="00975749" w:rsidP="00975749">
      <w:pPr>
        <w:pStyle w:val="SubtitleCover"/>
      </w:pPr>
      <w:r>
        <w:t>consolidando una cultura de LA transparencia en el estado colombiaNO</w:t>
      </w:r>
    </w:p>
    <w:p w:rsidR="00975749" w:rsidRDefault="00975749" w:rsidP="00975749">
      <w:pPr>
        <w:pStyle w:val="SubtitleCover"/>
      </w:pPr>
    </w:p>
    <w:p w:rsidR="00975749" w:rsidRPr="00975749" w:rsidRDefault="00975749" w:rsidP="00975749">
      <w:pPr>
        <w:pStyle w:val="Textoindependiente"/>
        <w:rPr>
          <w:lang w:val="es-ES" w:bidi="es-ES"/>
        </w:rPr>
      </w:pPr>
    </w:p>
    <w:p w:rsidR="005B72BA" w:rsidRDefault="005B72BA" w:rsidP="005B72BA">
      <w:pPr>
        <w:pStyle w:val="SubtitleCover"/>
      </w:pPr>
    </w:p>
    <w:p w:rsidR="005B72BA" w:rsidRDefault="005B72BA" w:rsidP="00D361F1">
      <w:pPr>
        <w:pStyle w:val="SubtitleCover"/>
      </w:pPr>
    </w:p>
    <w:p w:rsidR="005B72BA" w:rsidRDefault="005B72BA" w:rsidP="00D361F1">
      <w:pPr>
        <w:pStyle w:val="SubtitleCover"/>
      </w:pPr>
    </w:p>
    <w:p w:rsidR="005B72BA" w:rsidRDefault="005B72BA" w:rsidP="00D361F1">
      <w:pPr>
        <w:pStyle w:val="SubtitleCover"/>
      </w:pPr>
    </w:p>
    <w:p w:rsidR="001D025C" w:rsidRDefault="001D025C">
      <w:pPr>
        <w:rPr>
          <w:lang w:val="es-ES" w:bidi="es-ES"/>
        </w:rPr>
      </w:pPr>
      <w:r>
        <w:rPr>
          <w:lang w:val="es-ES" w:bidi="es-ES"/>
        </w:rPr>
        <w:br w:type="page"/>
      </w:r>
    </w:p>
    <w:p w:rsidR="00D361F1" w:rsidRPr="00D361F1" w:rsidRDefault="00D361F1" w:rsidP="00D361F1">
      <w:pPr>
        <w:rPr>
          <w:lang w:val="es-ES" w:bidi="es-ES"/>
        </w:rPr>
      </w:pPr>
    </w:p>
    <w:p w:rsidR="009C56FF" w:rsidRDefault="005B72BA" w:rsidP="00DE3430">
      <w:pPr>
        <w:pStyle w:val="Puesto"/>
        <w:jc w:val="left"/>
        <w:rPr>
          <w:sz w:val="24"/>
          <w:szCs w:val="24"/>
          <w:lang w:val="es-ES"/>
        </w:rPr>
      </w:pPr>
      <w:r>
        <w:rPr>
          <w:sz w:val="24"/>
          <w:szCs w:val="24"/>
          <w:lang w:val="es-ES"/>
        </w:rPr>
        <w:t xml:space="preserve">                         </w:t>
      </w:r>
      <w:r w:rsidR="00DF18AE" w:rsidRPr="00245DD3">
        <w:rPr>
          <w:sz w:val="24"/>
          <w:szCs w:val="24"/>
          <w:lang w:val="es-ES"/>
        </w:rPr>
        <w:t xml:space="preserve">         </w:t>
      </w:r>
    </w:p>
    <w:p w:rsidR="001428C6" w:rsidRPr="00113267" w:rsidRDefault="00ED43C0" w:rsidP="00ED43C0">
      <w:pPr>
        <w:keepNext/>
        <w:keepLines/>
        <w:pBdr>
          <w:top w:val="single" w:sz="6" w:space="6" w:color="808080"/>
          <w:bottom w:val="single" w:sz="6" w:space="6" w:color="808080"/>
        </w:pBdr>
        <w:spacing w:after="240" w:line="240" w:lineRule="atLeast"/>
        <w:jc w:val="center"/>
        <w:outlineLvl w:val="0"/>
        <w:rPr>
          <w:rFonts w:cs="Arial"/>
          <w:sz w:val="26"/>
          <w:szCs w:val="26"/>
          <w:lang w:val="es-ES"/>
        </w:rPr>
      </w:pPr>
      <w:r>
        <w:rPr>
          <w:rFonts w:cs="Arial"/>
          <w:b/>
          <w:caps/>
          <w:spacing w:val="20"/>
          <w:kern w:val="16"/>
          <w:sz w:val="26"/>
          <w:szCs w:val="26"/>
          <w:lang w:val="es-ES"/>
        </w:rPr>
        <w:t>LINEAS DE TRABAJO DEL GRUPO</w:t>
      </w:r>
      <w:r w:rsidR="001428C6" w:rsidRPr="00113267">
        <w:rPr>
          <w:rFonts w:cs="Arial"/>
          <w:sz w:val="26"/>
          <w:szCs w:val="26"/>
          <w:lang w:val="es-ES"/>
        </w:rPr>
        <w:t xml:space="preserve"> </w:t>
      </w:r>
    </w:p>
    <w:p w:rsidR="00113267" w:rsidRPr="001D025C" w:rsidRDefault="00113267" w:rsidP="00113267">
      <w:pPr>
        <w:jc w:val="both"/>
        <w:rPr>
          <w:rFonts w:cstheme="minorHAnsi"/>
          <w:b/>
          <w:lang w:val="es-CO"/>
        </w:rPr>
      </w:pPr>
    </w:p>
    <w:p w:rsidR="00ED43C0" w:rsidRPr="001D025C" w:rsidRDefault="00ED43C0" w:rsidP="00113267">
      <w:pPr>
        <w:jc w:val="both"/>
        <w:rPr>
          <w:rFonts w:cstheme="minorHAnsi"/>
          <w:b/>
          <w:lang w:val="es-CO"/>
        </w:rPr>
      </w:pPr>
    </w:p>
    <w:p w:rsidR="00113267" w:rsidRDefault="00113267" w:rsidP="00113267">
      <w:pPr>
        <w:pStyle w:val="Prrafodelista"/>
        <w:numPr>
          <w:ilvl w:val="0"/>
          <w:numId w:val="14"/>
        </w:numPr>
        <w:spacing w:line="276" w:lineRule="auto"/>
        <w:ind w:left="709" w:hanging="709"/>
        <w:contextualSpacing w:val="0"/>
        <w:jc w:val="both"/>
        <w:rPr>
          <w:rFonts w:ascii="Garamond" w:hAnsi="Garamond" w:cstheme="minorHAnsi"/>
          <w:b/>
        </w:rPr>
      </w:pPr>
      <w:r w:rsidRPr="007F0CCD">
        <w:rPr>
          <w:rFonts w:ascii="Garamond" w:hAnsi="Garamond" w:cstheme="minorHAnsi"/>
          <w:b/>
          <w:lang w:val="es-ES"/>
        </w:rPr>
        <w:t>C</w:t>
      </w:r>
      <w:r w:rsidRPr="007F0CCD">
        <w:rPr>
          <w:rFonts w:ascii="Garamond" w:hAnsi="Garamond" w:cstheme="minorHAnsi"/>
          <w:b/>
        </w:rPr>
        <w:t xml:space="preserve">APACITACIÓN Y PROMOCIÓN </w:t>
      </w:r>
    </w:p>
    <w:p w:rsidR="00113267" w:rsidRDefault="00ED43C0" w:rsidP="00113267">
      <w:pPr>
        <w:pStyle w:val="Prrafodelista"/>
        <w:numPr>
          <w:ilvl w:val="0"/>
          <w:numId w:val="14"/>
        </w:numPr>
        <w:spacing w:line="276" w:lineRule="auto"/>
        <w:ind w:left="709" w:hanging="709"/>
        <w:contextualSpacing w:val="0"/>
        <w:jc w:val="both"/>
        <w:rPr>
          <w:rFonts w:ascii="Garamond" w:hAnsi="Garamond" w:cstheme="minorHAnsi"/>
          <w:b/>
        </w:rPr>
      </w:pPr>
      <w:r>
        <w:rPr>
          <w:rFonts w:ascii="Garamond" w:hAnsi="Garamond" w:cstheme="minorHAnsi"/>
          <w:b/>
        </w:rPr>
        <w:t>VIGILANCIA Y SEGUIMIENTO</w:t>
      </w:r>
    </w:p>
    <w:p w:rsidR="00ED43C0" w:rsidRDefault="00ED43C0" w:rsidP="00113267">
      <w:pPr>
        <w:pStyle w:val="Prrafodelista"/>
        <w:numPr>
          <w:ilvl w:val="0"/>
          <w:numId w:val="14"/>
        </w:numPr>
        <w:spacing w:line="276" w:lineRule="auto"/>
        <w:ind w:left="709" w:hanging="709"/>
        <w:contextualSpacing w:val="0"/>
        <w:jc w:val="both"/>
        <w:rPr>
          <w:rFonts w:ascii="Garamond" w:hAnsi="Garamond" w:cstheme="minorHAnsi"/>
          <w:b/>
        </w:rPr>
      </w:pPr>
      <w:r>
        <w:rPr>
          <w:rFonts w:ascii="Garamond" w:hAnsi="Garamond" w:cstheme="minorHAnsi"/>
          <w:b/>
        </w:rPr>
        <w:t>CONSULTAS Y SIPIR</w:t>
      </w:r>
    </w:p>
    <w:p w:rsidR="00ED43C0" w:rsidRDefault="00ED43C0" w:rsidP="00113267">
      <w:pPr>
        <w:pStyle w:val="Prrafodelista"/>
        <w:numPr>
          <w:ilvl w:val="0"/>
          <w:numId w:val="14"/>
        </w:numPr>
        <w:spacing w:line="276" w:lineRule="auto"/>
        <w:ind w:left="709" w:hanging="709"/>
        <w:contextualSpacing w:val="0"/>
        <w:jc w:val="both"/>
        <w:rPr>
          <w:rFonts w:ascii="Garamond" w:hAnsi="Garamond" w:cstheme="minorHAnsi"/>
          <w:b/>
        </w:rPr>
      </w:pPr>
      <w:r>
        <w:rPr>
          <w:rFonts w:ascii="Garamond" w:hAnsi="Garamond" w:cstheme="minorHAnsi"/>
          <w:b/>
        </w:rPr>
        <w:t>ARTICULACIÓN INTERINSTITUCIONAL</w:t>
      </w:r>
    </w:p>
    <w:p w:rsidR="00ED43C0" w:rsidRDefault="00ED43C0" w:rsidP="00113267">
      <w:pPr>
        <w:pStyle w:val="Prrafodelista"/>
        <w:numPr>
          <w:ilvl w:val="0"/>
          <w:numId w:val="14"/>
        </w:numPr>
        <w:spacing w:line="276" w:lineRule="auto"/>
        <w:ind w:left="709" w:hanging="709"/>
        <w:contextualSpacing w:val="0"/>
        <w:jc w:val="both"/>
        <w:rPr>
          <w:rFonts w:ascii="Garamond" w:hAnsi="Garamond" w:cstheme="minorHAnsi"/>
          <w:b/>
        </w:rPr>
      </w:pPr>
      <w:r>
        <w:rPr>
          <w:rFonts w:ascii="Garamond" w:hAnsi="Garamond" w:cstheme="minorHAnsi"/>
          <w:b/>
        </w:rPr>
        <w:t>SISTEMAS DE INFORMACIÓN</w:t>
      </w:r>
    </w:p>
    <w:p w:rsidR="00ED43C0" w:rsidRDefault="00ED43C0" w:rsidP="00113267">
      <w:pPr>
        <w:pStyle w:val="Prrafodelista"/>
        <w:numPr>
          <w:ilvl w:val="0"/>
          <w:numId w:val="14"/>
        </w:numPr>
        <w:spacing w:line="276" w:lineRule="auto"/>
        <w:ind w:left="709" w:hanging="709"/>
        <w:contextualSpacing w:val="0"/>
        <w:jc w:val="both"/>
        <w:rPr>
          <w:rFonts w:ascii="Garamond" w:hAnsi="Garamond" w:cstheme="minorHAnsi"/>
          <w:b/>
        </w:rPr>
      </w:pPr>
      <w:r>
        <w:rPr>
          <w:rFonts w:ascii="Garamond" w:hAnsi="Garamond" w:cstheme="minorHAnsi"/>
          <w:b/>
        </w:rPr>
        <w:t>COMUNICACIONES</w:t>
      </w:r>
    </w:p>
    <w:p w:rsidR="00741A17" w:rsidRDefault="00741A17" w:rsidP="00113267">
      <w:pPr>
        <w:pStyle w:val="Prrafodelista"/>
        <w:numPr>
          <w:ilvl w:val="0"/>
          <w:numId w:val="14"/>
        </w:numPr>
        <w:spacing w:line="276" w:lineRule="auto"/>
        <w:ind w:left="709" w:hanging="709"/>
        <w:contextualSpacing w:val="0"/>
        <w:jc w:val="both"/>
        <w:rPr>
          <w:rFonts w:ascii="Garamond" w:hAnsi="Garamond" w:cstheme="minorHAnsi"/>
          <w:b/>
        </w:rPr>
      </w:pPr>
      <w:r>
        <w:rPr>
          <w:rFonts w:ascii="Garamond" w:hAnsi="Garamond" w:cstheme="minorHAnsi"/>
          <w:b/>
        </w:rPr>
        <w:t>RELATORIA</w:t>
      </w:r>
    </w:p>
    <w:p w:rsidR="00741A17" w:rsidRPr="00741A17" w:rsidRDefault="00741A17" w:rsidP="00741A17">
      <w:pPr>
        <w:spacing w:line="276" w:lineRule="auto"/>
        <w:jc w:val="both"/>
        <w:rPr>
          <w:rFonts w:cstheme="minorHAnsi"/>
          <w:b/>
        </w:rPr>
      </w:pPr>
    </w:p>
    <w:p w:rsidR="00ED43C0" w:rsidRDefault="00ED43C0" w:rsidP="00ED43C0">
      <w:pPr>
        <w:pStyle w:val="Prrafodelista"/>
        <w:spacing w:line="276" w:lineRule="auto"/>
        <w:ind w:left="709"/>
        <w:contextualSpacing w:val="0"/>
        <w:jc w:val="both"/>
        <w:rPr>
          <w:rFonts w:ascii="Garamond" w:hAnsi="Garamond" w:cstheme="minorHAnsi"/>
          <w:b/>
        </w:rPr>
      </w:pPr>
    </w:p>
    <w:p w:rsidR="00ED43C0" w:rsidRDefault="00ED43C0" w:rsidP="00ED43C0">
      <w:pPr>
        <w:pStyle w:val="Prrafodelista"/>
        <w:spacing w:line="276" w:lineRule="auto"/>
        <w:ind w:left="709"/>
        <w:contextualSpacing w:val="0"/>
        <w:jc w:val="both"/>
        <w:rPr>
          <w:rFonts w:ascii="Garamond" w:hAnsi="Garamond" w:cstheme="minorHAnsi"/>
          <w:b/>
        </w:rPr>
      </w:pPr>
    </w:p>
    <w:p w:rsidR="00ED43C0" w:rsidRDefault="00ED43C0" w:rsidP="00ED43C0">
      <w:pPr>
        <w:pStyle w:val="Prrafodelista"/>
        <w:spacing w:line="276" w:lineRule="auto"/>
        <w:ind w:left="709"/>
        <w:contextualSpacing w:val="0"/>
        <w:jc w:val="both"/>
        <w:rPr>
          <w:rFonts w:ascii="Garamond" w:hAnsi="Garamond" w:cstheme="minorHAnsi"/>
          <w:b/>
        </w:rPr>
      </w:pPr>
    </w:p>
    <w:p w:rsidR="00ED43C0" w:rsidRDefault="00ED43C0" w:rsidP="00ED43C0">
      <w:pPr>
        <w:pStyle w:val="Puesto"/>
        <w:jc w:val="left"/>
        <w:rPr>
          <w:sz w:val="24"/>
          <w:szCs w:val="24"/>
          <w:lang w:val="es-ES"/>
        </w:rPr>
      </w:pPr>
      <w:r>
        <w:rPr>
          <w:sz w:val="24"/>
          <w:szCs w:val="24"/>
          <w:lang w:val="es-ES"/>
        </w:rPr>
        <w:t xml:space="preserve">                        </w:t>
      </w:r>
      <w:r w:rsidRPr="00245DD3">
        <w:rPr>
          <w:sz w:val="24"/>
          <w:szCs w:val="24"/>
          <w:lang w:val="es-ES"/>
        </w:rPr>
        <w:t xml:space="preserve">         </w:t>
      </w:r>
    </w:p>
    <w:p w:rsidR="00ED43C0" w:rsidRPr="001D025C" w:rsidRDefault="00BE4D4B" w:rsidP="001D025C">
      <w:pPr>
        <w:keepNext/>
        <w:keepLines/>
        <w:pBdr>
          <w:top w:val="single" w:sz="6" w:space="6" w:color="808080"/>
          <w:bottom w:val="single" w:sz="6" w:space="6" w:color="808080"/>
        </w:pBdr>
        <w:spacing w:after="240" w:line="240" w:lineRule="atLeast"/>
        <w:jc w:val="center"/>
        <w:outlineLvl w:val="0"/>
        <w:rPr>
          <w:rFonts w:cs="Arial"/>
          <w:b/>
          <w:caps/>
          <w:spacing w:val="20"/>
          <w:kern w:val="16"/>
          <w:sz w:val="26"/>
          <w:szCs w:val="26"/>
          <w:lang w:val="es-ES"/>
        </w:rPr>
      </w:pPr>
      <w:r>
        <w:rPr>
          <w:rFonts w:cs="Arial"/>
          <w:b/>
          <w:caps/>
          <w:spacing w:val="20"/>
          <w:kern w:val="16"/>
          <w:sz w:val="26"/>
          <w:szCs w:val="26"/>
          <w:lang w:val="es-ES"/>
        </w:rPr>
        <w:t>CONSOLIDADO DE GESTIÓN VIGENCIA 2016</w:t>
      </w:r>
    </w:p>
    <w:p w:rsidR="00ED43C0" w:rsidRDefault="00ED43C0" w:rsidP="00ED43C0">
      <w:pPr>
        <w:jc w:val="both"/>
        <w:rPr>
          <w:rFonts w:cstheme="minorHAnsi"/>
          <w:b/>
        </w:rPr>
      </w:pPr>
    </w:p>
    <w:p w:rsidR="00BE4D4B" w:rsidRDefault="00BE4D4B" w:rsidP="00ED43C0">
      <w:pPr>
        <w:jc w:val="both"/>
        <w:rPr>
          <w:rFonts w:cstheme="minorHAnsi"/>
          <w:b/>
        </w:rPr>
      </w:pPr>
    </w:p>
    <w:tbl>
      <w:tblPr>
        <w:tblW w:w="8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86"/>
        <w:gridCol w:w="638"/>
      </w:tblGrid>
      <w:tr w:rsidR="00BE4D4B" w:rsidRPr="00BA4E4A" w:rsidTr="00CF24A7">
        <w:trPr>
          <w:trHeight w:val="300"/>
          <w:jc w:val="center"/>
        </w:trPr>
        <w:tc>
          <w:tcPr>
            <w:tcW w:w="7386" w:type="dxa"/>
            <w:tcBorders>
              <w:top w:val="single" w:sz="4" w:space="0" w:color="auto"/>
              <w:left w:val="single" w:sz="4" w:space="0" w:color="auto"/>
              <w:bottom w:val="single" w:sz="4" w:space="0" w:color="auto"/>
              <w:right w:val="single" w:sz="4" w:space="0" w:color="auto"/>
            </w:tcBorders>
            <w:noWrap/>
            <w:vAlign w:val="bottom"/>
            <w:hideMark/>
          </w:tcPr>
          <w:p w:rsidR="00BE4D4B" w:rsidRPr="00BA4E4A" w:rsidRDefault="00BE4D4B" w:rsidP="00CF24A7">
            <w:pPr>
              <w:jc w:val="center"/>
              <w:rPr>
                <w:rFonts w:cstheme="minorHAnsi"/>
                <w:b/>
                <w:bCs/>
                <w:color w:val="000000"/>
                <w:lang w:val="es-CO" w:eastAsia="es-CO"/>
              </w:rPr>
            </w:pPr>
            <w:r w:rsidRPr="00BA4E4A">
              <w:rPr>
                <w:rFonts w:cstheme="minorHAnsi"/>
                <w:b/>
                <w:bCs/>
                <w:color w:val="000000"/>
                <w:lang w:val="es-CO" w:eastAsia="es-CO"/>
              </w:rPr>
              <w:t>Descripción</w:t>
            </w:r>
          </w:p>
        </w:tc>
        <w:tc>
          <w:tcPr>
            <w:tcW w:w="638" w:type="dxa"/>
            <w:tcBorders>
              <w:top w:val="single" w:sz="4" w:space="0" w:color="auto"/>
              <w:left w:val="single" w:sz="4" w:space="0" w:color="auto"/>
              <w:bottom w:val="single" w:sz="4" w:space="0" w:color="auto"/>
              <w:right w:val="single" w:sz="4" w:space="0" w:color="auto"/>
            </w:tcBorders>
            <w:noWrap/>
            <w:vAlign w:val="center"/>
            <w:hideMark/>
          </w:tcPr>
          <w:p w:rsidR="00BE4D4B" w:rsidRPr="00BA4E4A" w:rsidRDefault="00BE4D4B" w:rsidP="00CF24A7">
            <w:pPr>
              <w:jc w:val="center"/>
              <w:rPr>
                <w:rFonts w:cstheme="minorHAnsi"/>
                <w:b/>
                <w:bCs/>
                <w:color w:val="000000"/>
                <w:lang w:val="es-CO" w:eastAsia="es-CO"/>
              </w:rPr>
            </w:pPr>
            <w:r w:rsidRPr="00BA4E4A">
              <w:rPr>
                <w:rFonts w:cstheme="minorHAnsi"/>
                <w:b/>
                <w:bCs/>
                <w:color w:val="000000"/>
                <w:lang w:val="es-CO" w:eastAsia="es-CO"/>
              </w:rPr>
              <w:t>Total</w:t>
            </w:r>
          </w:p>
        </w:tc>
      </w:tr>
      <w:tr w:rsidR="00BE4D4B" w:rsidRPr="00BA4E4A" w:rsidTr="00CF24A7">
        <w:trPr>
          <w:trHeight w:val="300"/>
          <w:jc w:val="center"/>
        </w:trPr>
        <w:tc>
          <w:tcPr>
            <w:tcW w:w="7386" w:type="dxa"/>
            <w:tcBorders>
              <w:top w:val="single" w:sz="4" w:space="0" w:color="auto"/>
              <w:left w:val="single" w:sz="4" w:space="0" w:color="auto"/>
              <w:bottom w:val="single" w:sz="4" w:space="0" w:color="auto"/>
              <w:right w:val="single" w:sz="4" w:space="0" w:color="auto"/>
            </w:tcBorders>
            <w:noWrap/>
            <w:vAlign w:val="bottom"/>
            <w:hideMark/>
          </w:tcPr>
          <w:p w:rsidR="00BE4D4B" w:rsidRPr="00BA4E4A" w:rsidRDefault="00BE4D4B" w:rsidP="00CF24A7">
            <w:pPr>
              <w:rPr>
                <w:rFonts w:cstheme="minorHAnsi"/>
                <w:color w:val="000000"/>
                <w:lang w:val="es-CO" w:eastAsia="es-CO"/>
              </w:rPr>
            </w:pPr>
            <w:r w:rsidRPr="00BA4E4A">
              <w:rPr>
                <w:rFonts w:cstheme="minorHAnsi"/>
                <w:color w:val="000000"/>
                <w:lang w:val="es-CO" w:eastAsia="es-CO"/>
              </w:rPr>
              <w:t>Personas capacitadas</w:t>
            </w:r>
          </w:p>
        </w:tc>
        <w:tc>
          <w:tcPr>
            <w:tcW w:w="638" w:type="dxa"/>
            <w:tcBorders>
              <w:top w:val="single" w:sz="4" w:space="0" w:color="auto"/>
              <w:left w:val="single" w:sz="4" w:space="0" w:color="auto"/>
              <w:bottom w:val="single" w:sz="4" w:space="0" w:color="auto"/>
              <w:right w:val="single" w:sz="4" w:space="0" w:color="auto"/>
            </w:tcBorders>
            <w:noWrap/>
            <w:vAlign w:val="center"/>
            <w:hideMark/>
          </w:tcPr>
          <w:p w:rsidR="00BE4D4B" w:rsidRPr="00BA4E4A" w:rsidRDefault="00E87735" w:rsidP="00CF24A7">
            <w:pPr>
              <w:jc w:val="center"/>
              <w:rPr>
                <w:rFonts w:cstheme="minorHAnsi"/>
                <w:color w:val="000000"/>
                <w:lang w:val="es-CO" w:eastAsia="es-CO"/>
              </w:rPr>
            </w:pPr>
            <w:r>
              <w:rPr>
                <w:rFonts w:cstheme="minorHAnsi"/>
                <w:color w:val="000000"/>
                <w:lang w:val="es-CO" w:eastAsia="es-CO"/>
              </w:rPr>
              <w:t>3345</w:t>
            </w:r>
          </w:p>
        </w:tc>
      </w:tr>
      <w:tr w:rsidR="00BE4D4B" w:rsidRPr="00BA4E4A" w:rsidTr="00CF24A7">
        <w:trPr>
          <w:trHeight w:val="300"/>
          <w:jc w:val="center"/>
        </w:trPr>
        <w:tc>
          <w:tcPr>
            <w:tcW w:w="7386" w:type="dxa"/>
            <w:tcBorders>
              <w:top w:val="single" w:sz="4" w:space="0" w:color="auto"/>
              <w:left w:val="single" w:sz="4" w:space="0" w:color="auto"/>
              <w:bottom w:val="single" w:sz="4" w:space="0" w:color="auto"/>
              <w:right w:val="single" w:sz="4" w:space="0" w:color="auto"/>
            </w:tcBorders>
            <w:noWrap/>
            <w:vAlign w:val="bottom"/>
            <w:hideMark/>
          </w:tcPr>
          <w:p w:rsidR="00BE4D4B" w:rsidRPr="00BA4E4A" w:rsidRDefault="00BE4D4B" w:rsidP="00CF24A7">
            <w:pPr>
              <w:rPr>
                <w:rFonts w:cstheme="minorHAnsi"/>
                <w:color w:val="000000"/>
                <w:lang w:val="es-CO" w:eastAsia="es-CO"/>
              </w:rPr>
            </w:pPr>
            <w:r w:rsidRPr="00BA4E4A">
              <w:rPr>
                <w:rFonts w:cstheme="minorHAnsi"/>
                <w:color w:val="000000"/>
                <w:lang w:val="es-CO" w:eastAsia="es-CO"/>
              </w:rPr>
              <w:t>Visitas de vigilancia Presenciales a sujetos obligados</w:t>
            </w:r>
          </w:p>
        </w:tc>
        <w:tc>
          <w:tcPr>
            <w:tcW w:w="638" w:type="dxa"/>
            <w:tcBorders>
              <w:top w:val="single" w:sz="4" w:space="0" w:color="auto"/>
              <w:left w:val="single" w:sz="4" w:space="0" w:color="auto"/>
              <w:bottom w:val="single" w:sz="4" w:space="0" w:color="auto"/>
              <w:right w:val="single" w:sz="4" w:space="0" w:color="auto"/>
            </w:tcBorders>
            <w:noWrap/>
            <w:vAlign w:val="center"/>
            <w:hideMark/>
          </w:tcPr>
          <w:p w:rsidR="00BE4D4B" w:rsidRPr="00BA4E4A" w:rsidRDefault="009E4C91" w:rsidP="00CF24A7">
            <w:pPr>
              <w:jc w:val="center"/>
              <w:rPr>
                <w:rFonts w:cstheme="minorHAnsi"/>
                <w:color w:val="000000"/>
                <w:lang w:val="es-CO" w:eastAsia="es-CO"/>
              </w:rPr>
            </w:pPr>
            <w:r>
              <w:rPr>
                <w:rFonts w:cstheme="minorHAnsi"/>
                <w:color w:val="000000"/>
                <w:lang w:val="es-CO" w:eastAsia="es-CO"/>
              </w:rPr>
              <w:t>77</w:t>
            </w:r>
          </w:p>
        </w:tc>
      </w:tr>
      <w:tr w:rsidR="00BE4D4B" w:rsidRPr="00BA4E4A" w:rsidTr="00CF24A7">
        <w:trPr>
          <w:trHeight w:val="300"/>
          <w:jc w:val="center"/>
        </w:trPr>
        <w:tc>
          <w:tcPr>
            <w:tcW w:w="7386" w:type="dxa"/>
            <w:tcBorders>
              <w:top w:val="single" w:sz="4" w:space="0" w:color="auto"/>
              <w:left w:val="single" w:sz="4" w:space="0" w:color="auto"/>
              <w:bottom w:val="single" w:sz="4" w:space="0" w:color="auto"/>
              <w:right w:val="single" w:sz="4" w:space="0" w:color="auto"/>
            </w:tcBorders>
            <w:noWrap/>
            <w:vAlign w:val="bottom"/>
            <w:hideMark/>
          </w:tcPr>
          <w:p w:rsidR="00BE4D4B" w:rsidRPr="00BA4E4A" w:rsidRDefault="00BE4D4B" w:rsidP="00CF24A7">
            <w:pPr>
              <w:rPr>
                <w:rFonts w:cstheme="minorHAnsi"/>
                <w:color w:val="000000"/>
                <w:lang w:val="es-CO" w:eastAsia="es-CO"/>
              </w:rPr>
            </w:pPr>
            <w:r w:rsidRPr="00BA4E4A">
              <w:rPr>
                <w:rFonts w:cstheme="minorHAnsi"/>
                <w:color w:val="000000"/>
                <w:lang w:val="es-CO" w:eastAsia="es-CO"/>
              </w:rPr>
              <w:t>Consultas resueltas</w:t>
            </w:r>
          </w:p>
        </w:tc>
        <w:tc>
          <w:tcPr>
            <w:tcW w:w="638" w:type="dxa"/>
            <w:tcBorders>
              <w:top w:val="single" w:sz="4" w:space="0" w:color="auto"/>
              <w:left w:val="single" w:sz="4" w:space="0" w:color="auto"/>
              <w:bottom w:val="single" w:sz="4" w:space="0" w:color="auto"/>
              <w:right w:val="single" w:sz="4" w:space="0" w:color="auto"/>
            </w:tcBorders>
            <w:noWrap/>
            <w:vAlign w:val="center"/>
            <w:hideMark/>
          </w:tcPr>
          <w:p w:rsidR="00BE4D4B" w:rsidRPr="00BA4E4A" w:rsidRDefault="009E4C91" w:rsidP="00CF24A7">
            <w:pPr>
              <w:jc w:val="center"/>
              <w:rPr>
                <w:rFonts w:cstheme="minorHAnsi"/>
                <w:color w:val="000000"/>
                <w:lang w:val="es-CO" w:eastAsia="es-CO"/>
              </w:rPr>
            </w:pPr>
            <w:r>
              <w:rPr>
                <w:rFonts w:cstheme="minorHAnsi"/>
                <w:color w:val="000000"/>
                <w:lang w:val="es-CO" w:eastAsia="es-CO"/>
              </w:rPr>
              <w:t>26</w:t>
            </w:r>
          </w:p>
        </w:tc>
      </w:tr>
      <w:tr w:rsidR="00BE4D4B" w:rsidRPr="00BA4E4A" w:rsidTr="00CF24A7">
        <w:trPr>
          <w:trHeight w:val="300"/>
          <w:jc w:val="center"/>
        </w:trPr>
        <w:tc>
          <w:tcPr>
            <w:tcW w:w="7386" w:type="dxa"/>
            <w:tcBorders>
              <w:top w:val="single" w:sz="4" w:space="0" w:color="auto"/>
              <w:left w:val="single" w:sz="4" w:space="0" w:color="auto"/>
              <w:bottom w:val="single" w:sz="4" w:space="0" w:color="auto"/>
              <w:right w:val="single" w:sz="4" w:space="0" w:color="auto"/>
            </w:tcBorders>
            <w:noWrap/>
            <w:vAlign w:val="bottom"/>
            <w:hideMark/>
          </w:tcPr>
          <w:p w:rsidR="00BE4D4B" w:rsidRPr="00BA4E4A" w:rsidRDefault="00BE4D4B" w:rsidP="00CF24A7">
            <w:pPr>
              <w:rPr>
                <w:rFonts w:cstheme="minorHAnsi"/>
                <w:color w:val="000000"/>
                <w:lang w:val="es-CO" w:eastAsia="es-CO"/>
              </w:rPr>
            </w:pPr>
            <w:r w:rsidRPr="00BA4E4A">
              <w:rPr>
                <w:rFonts w:cstheme="minorHAnsi"/>
                <w:color w:val="000000"/>
                <w:lang w:val="es-CO" w:eastAsia="es-CO"/>
              </w:rPr>
              <w:t>Solicitudes de información con identificación reservada</w:t>
            </w:r>
          </w:p>
        </w:tc>
        <w:tc>
          <w:tcPr>
            <w:tcW w:w="638" w:type="dxa"/>
            <w:tcBorders>
              <w:top w:val="single" w:sz="4" w:space="0" w:color="auto"/>
              <w:left w:val="single" w:sz="4" w:space="0" w:color="auto"/>
              <w:bottom w:val="single" w:sz="4" w:space="0" w:color="auto"/>
              <w:right w:val="single" w:sz="4" w:space="0" w:color="auto"/>
            </w:tcBorders>
            <w:noWrap/>
            <w:vAlign w:val="center"/>
            <w:hideMark/>
          </w:tcPr>
          <w:p w:rsidR="00BE4D4B" w:rsidRPr="00BA4E4A" w:rsidRDefault="009E4C91" w:rsidP="00CF24A7">
            <w:pPr>
              <w:jc w:val="center"/>
              <w:rPr>
                <w:rFonts w:cstheme="minorHAnsi"/>
                <w:color w:val="000000"/>
                <w:lang w:val="es-CO" w:eastAsia="es-CO"/>
              </w:rPr>
            </w:pPr>
            <w:r>
              <w:rPr>
                <w:rFonts w:cstheme="minorHAnsi"/>
                <w:color w:val="000000"/>
                <w:lang w:val="es-CO" w:eastAsia="es-CO"/>
              </w:rPr>
              <w:t>14</w:t>
            </w:r>
          </w:p>
        </w:tc>
      </w:tr>
      <w:tr w:rsidR="00BE4D4B" w:rsidRPr="00BA4E4A" w:rsidTr="00CF24A7">
        <w:trPr>
          <w:trHeight w:val="300"/>
          <w:jc w:val="center"/>
        </w:trPr>
        <w:tc>
          <w:tcPr>
            <w:tcW w:w="7386" w:type="dxa"/>
            <w:tcBorders>
              <w:top w:val="single" w:sz="4" w:space="0" w:color="auto"/>
              <w:left w:val="single" w:sz="4" w:space="0" w:color="auto"/>
              <w:bottom w:val="single" w:sz="4" w:space="0" w:color="auto"/>
              <w:right w:val="single" w:sz="4" w:space="0" w:color="auto"/>
            </w:tcBorders>
            <w:noWrap/>
            <w:vAlign w:val="bottom"/>
            <w:hideMark/>
          </w:tcPr>
          <w:p w:rsidR="00BE4D4B" w:rsidRPr="00BA4E4A" w:rsidRDefault="00BE4D4B" w:rsidP="00CF24A7">
            <w:pPr>
              <w:rPr>
                <w:rFonts w:cstheme="minorHAnsi"/>
                <w:color w:val="000000"/>
                <w:lang w:val="es-CO" w:eastAsia="es-CO"/>
              </w:rPr>
            </w:pPr>
            <w:r w:rsidRPr="00BA4E4A">
              <w:rPr>
                <w:rFonts w:cstheme="minorHAnsi"/>
                <w:color w:val="000000"/>
                <w:lang w:val="es-CO" w:eastAsia="es-CO"/>
              </w:rPr>
              <w:t>Relatoría de tutelas del derecho de acceso a la información</w:t>
            </w:r>
          </w:p>
        </w:tc>
        <w:tc>
          <w:tcPr>
            <w:tcW w:w="638" w:type="dxa"/>
            <w:tcBorders>
              <w:top w:val="single" w:sz="4" w:space="0" w:color="auto"/>
              <w:left w:val="single" w:sz="4" w:space="0" w:color="auto"/>
              <w:bottom w:val="single" w:sz="4" w:space="0" w:color="auto"/>
              <w:right w:val="single" w:sz="4" w:space="0" w:color="auto"/>
            </w:tcBorders>
            <w:noWrap/>
            <w:vAlign w:val="center"/>
            <w:hideMark/>
          </w:tcPr>
          <w:p w:rsidR="00BE4D4B" w:rsidRPr="00BA4E4A" w:rsidRDefault="009E4C91" w:rsidP="00CF24A7">
            <w:pPr>
              <w:jc w:val="center"/>
              <w:rPr>
                <w:rFonts w:cstheme="minorHAnsi"/>
                <w:color w:val="000000"/>
                <w:lang w:val="es-CO" w:eastAsia="es-CO"/>
              </w:rPr>
            </w:pPr>
            <w:r>
              <w:rPr>
                <w:rFonts w:cstheme="minorHAnsi"/>
                <w:color w:val="000000"/>
                <w:lang w:val="es-CO" w:eastAsia="es-CO"/>
              </w:rPr>
              <w:t>75</w:t>
            </w:r>
          </w:p>
        </w:tc>
      </w:tr>
      <w:tr w:rsidR="00BE4D4B" w:rsidRPr="00BA4E4A" w:rsidTr="00CF24A7">
        <w:trPr>
          <w:trHeight w:val="300"/>
          <w:jc w:val="center"/>
        </w:trPr>
        <w:tc>
          <w:tcPr>
            <w:tcW w:w="7386" w:type="dxa"/>
            <w:tcBorders>
              <w:top w:val="single" w:sz="4" w:space="0" w:color="auto"/>
              <w:left w:val="single" w:sz="4" w:space="0" w:color="auto"/>
              <w:bottom w:val="single" w:sz="4" w:space="0" w:color="auto"/>
              <w:right w:val="single" w:sz="4" w:space="0" w:color="auto"/>
            </w:tcBorders>
            <w:noWrap/>
            <w:vAlign w:val="bottom"/>
            <w:hideMark/>
          </w:tcPr>
          <w:p w:rsidR="00BE4D4B" w:rsidRPr="00BA4E4A" w:rsidRDefault="00BE4D4B" w:rsidP="00CF24A7">
            <w:pPr>
              <w:rPr>
                <w:rFonts w:cstheme="minorHAnsi"/>
                <w:color w:val="000000"/>
                <w:lang w:val="es-CO" w:eastAsia="es-CO"/>
              </w:rPr>
            </w:pPr>
            <w:r w:rsidRPr="00BA4E4A">
              <w:rPr>
                <w:rFonts w:cstheme="minorHAnsi"/>
                <w:color w:val="000000"/>
                <w:lang w:val="es-CO" w:eastAsia="es-CO"/>
              </w:rPr>
              <w:t xml:space="preserve">Foros y eventos especializados </w:t>
            </w:r>
          </w:p>
        </w:tc>
        <w:tc>
          <w:tcPr>
            <w:tcW w:w="638" w:type="dxa"/>
            <w:tcBorders>
              <w:top w:val="single" w:sz="4" w:space="0" w:color="auto"/>
              <w:left w:val="single" w:sz="4" w:space="0" w:color="auto"/>
              <w:bottom w:val="single" w:sz="4" w:space="0" w:color="auto"/>
              <w:right w:val="single" w:sz="4" w:space="0" w:color="auto"/>
            </w:tcBorders>
            <w:noWrap/>
            <w:vAlign w:val="center"/>
            <w:hideMark/>
          </w:tcPr>
          <w:p w:rsidR="00BE4D4B" w:rsidRPr="00BA4E4A" w:rsidRDefault="009E4C91" w:rsidP="00CF24A7">
            <w:pPr>
              <w:jc w:val="center"/>
              <w:rPr>
                <w:rFonts w:cstheme="minorHAnsi"/>
                <w:color w:val="000000"/>
                <w:lang w:val="es-CO" w:eastAsia="es-CO"/>
              </w:rPr>
            </w:pPr>
            <w:r>
              <w:rPr>
                <w:rFonts w:cstheme="minorHAnsi"/>
                <w:color w:val="000000"/>
                <w:lang w:val="es-CO" w:eastAsia="es-CO"/>
              </w:rPr>
              <w:t>3</w:t>
            </w:r>
          </w:p>
        </w:tc>
      </w:tr>
    </w:tbl>
    <w:p w:rsidR="00BE4D4B" w:rsidRPr="00BA4E4A" w:rsidRDefault="00BE4D4B" w:rsidP="00BE4D4B">
      <w:pPr>
        <w:widowControl w:val="0"/>
        <w:jc w:val="center"/>
        <w:rPr>
          <w:rFonts w:cstheme="minorHAnsi"/>
          <w:sz w:val="18"/>
          <w:lang w:val="es-CO"/>
        </w:rPr>
      </w:pPr>
      <w:r w:rsidRPr="00BA4E4A">
        <w:rPr>
          <w:rFonts w:cstheme="minorHAnsi"/>
          <w:sz w:val="18"/>
          <w:lang w:val="es-CO"/>
        </w:rPr>
        <w:t>Fuente: Grupo de Transparencia y del Derecho de Acceso a la Información Pública – PGN</w:t>
      </w:r>
    </w:p>
    <w:p w:rsidR="00BE4D4B" w:rsidRPr="001D025C" w:rsidRDefault="00BE4D4B" w:rsidP="00ED43C0">
      <w:pPr>
        <w:jc w:val="both"/>
        <w:rPr>
          <w:rFonts w:cstheme="minorHAnsi"/>
          <w:b/>
          <w:lang w:val="es-CO"/>
        </w:rPr>
      </w:pPr>
    </w:p>
    <w:p w:rsidR="001D025C" w:rsidRDefault="001D025C">
      <w:pPr>
        <w:rPr>
          <w:rFonts w:cstheme="minorHAnsi"/>
          <w:b/>
          <w:lang w:val="es-CO"/>
        </w:rPr>
      </w:pPr>
      <w:r>
        <w:rPr>
          <w:rFonts w:cstheme="minorHAnsi"/>
          <w:b/>
          <w:caps/>
          <w:lang w:val="es-CO"/>
        </w:rPr>
        <w:br w:type="page"/>
      </w:r>
    </w:p>
    <w:p w:rsidR="00BE4D4B" w:rsidRDefault="00BE4D4B" w:rsidP="00BE4D4B">
      <w:pPr>
        <w:pStyle w:val="Puesto"/>
        <w:jc w:val="left"/>
        <w:rPr>
          <w:sz w:val="24"/>
          <w:szCs w:val="24"/>
          <w:lang w:val="es-ES"/>
        </w:rPr>
      </w:pPr>
      <w:r w:rsidRPr="00245DD3">
        <w:rPr>
          <w:sz w:val="24"/>
          <w:szCs w:val="24"/>
          <w:lang w:val="es-ES"/>
        </w:rPr>
        <w:lastRenderedPageBreak/>
        <w:t xml:space="preserve">     </w:t>
      </w:r>
    </w:p>
    <w:p w:rsidR="00BE4D4B" w:rsidRPr="001D025C" w:rsidRDefault="00BE4D4B" w:rsidP="001D025C">
      <w:pPr>
        <w:keepNext/>
        <w:keepLines/>
        <w:pBdr>
          <w:top w:val="single" w:sz="6" w:space="6" w:color="808080"/>
          <w:bottom w:val="single" w:sz="6" w:space="6" w:color="808080"/>
        </w:pBdr>
        <w:spacing w:after="240" w:line="240" w:lineRule="atLeast"/>
        <w:jc w:val="center"/>
        <w:outlineLvl w:val="0"/>
        <w:rPr>
          <w:rFonts w:cs="Arial"/>
          <w:b/>
          <w:caps/>
          <w:spacing w:val="20"/>
          <w:kern w:val="16"/>
          <w:sz w:val="26"/>
          <w:szCs w:val="26"/>
          <w:lang w:val="es-ES"/>
        </w:rPr>
      </w:pPr>
      <w:r w:rsidRPr="00113267">
        <w:rPr>
          <w:rFonts w:cs="Arial"/>
          <w:b/>
          <w:caps/>
          <w:spacing w:val="20"/>
          <w:kern w:val="16"/>
          <w:sz w:val="26"/>
          <w:szCs w:val="26"/>
          <w:lang w:val="es-ES"/>
        </w:rPr>
        <w:t xml:space="preserve">PRINCIPALES RESULTADOS DE CADA LÍNEA DE TRABAJO </w:t>
      </w:r>
    </w:p>
    <w:p w:rsidR="009F178F" w:rsidRPr="001D025C" w:rsidRDefault="009F178F" w:rsidP="00BE4D4B">
      <w:pPr>
        <w:jc w:val="both"/>
        <w:rPr>
          <w:rFonts w:cstheme="minorHAnsi"/>
          <w:b/>
          <w:lang w:val="es-CO"/>
        </w:rPr>
      </w:pPr>
    </w:p>
    <w:p w:rsidR="00ED43C0" w:rsidRDefault="00ED43C0" w:rsidP="00ED43C0">
      <w:pPr>
        <w:pStyle w:val="Prrafodelista"/>
        <w:numPr>
          <w:ilvl w:val="0"/>
          <w:numId w:val="16"/>
        </w:numPr>
        <w:spacing w:line="276" w:lineRule="auto"/>
        <w:jc w:val="both"/>
        <w:rPr>
          <w:rFonts w:cstheme="minorHAnsi"/>
          <w:b/>
        </w:rPr>
      </w:pPr>
      <w:r w:rsidRPr="00ED43C0">
        <w:rPr>
          <w:rFonts w:cstheme="minorHAnsi"/>
          <w:b/>
          <w:lang w:val="es-ES"/>
        </w:rPr>
        <w:t>C</w:t>
      </w:r>
      <w:r w:rsidRPr="00ED43C0">
        <w:rPr>
          <w:rFonts w:cstheme="minorHAnsi"/>
          <w:b/>
        </w:rPr>
        <w:t xml:space="preserve">APACITACIÓN Y PROMOCIÓN </w:t>
      </w:r>
    </w:p>
    <w:p w:rsidR="00ED43C0" w:rsidRDefault="00ED43C0" w:rsidP="00ED43C0">
      <w:pPr>
        <w:pStyle w:val="Prrafodelista"/>
        <w:spacing w:line="276" w:lineRule="auto"/>
        <w:jc w:val="both"/>
        <w:rPr>
          <w:rFonts w:cstheme="minorHAnsi"/>
          <w:b/>
        </w:rPr>
      </w:pPr>
    </w:p>
    <w:p w:rsidR="008149CB" w:rsidRDefault="008149CB" w:rsidP="008149CB">
      <w:pPr>
        <w:jc w:val="both"/>
        <w:rPr>
          <w:rFonts w:cstheme="minorHAnsi"/>
          <w:lang w:val="es-CO"/>
        </w:rPr>
      </w:pPr>
      <w:r w:rsidRPr="008149CB">
        <w:rPr>
          <w:rFonts w:cstheme="minorHAnsi"/>
          <w:lang w:val="es-CO"/>
        </w:rPr>
        <w:t>Con corte a 30 de junio de 2016 el Grupo de Transparencia y del Derecho de Acceso a la Información pública ha realizado 32 capacitaciones, las cuales contaron con la asistencia de 3.345 personas, en casi su t</w:t>
      </w:r>
      <w:r w:rsidR="009F178F">
        <w:rPr>
          <w:rFonts w:cstheme="minorHAnsi"/>
          <w:lang w:val="es-CO"/>
        </w:rPr>
        <w:t>otalidad, servidores públicos.</w:t>
      </w:r>
    </w:p>
    <w:p w:rsidR="00A7441D" w:rsidRPr="008149CB" w:rsidRDefault="00A7441D" w:rsidP="008149CB">
      <w:pPr>
        <w:jc w:val="both"/>
        <w:rPr>
          <w:rFonts w:cstheme="minorHAnsi"/>
          <w:lang w:val="es-CO"/>
        </w:rPr>
      </w:pPr>
    </w:p>
    <w:tbl>
      <w:tblPr>
        <w:tblStyle w:val="Tablaconcuadrcula"/>
        <w:tblW w:w="0" w:type="auto"/>
        <w:jc w:val="center"/>
        <w:tblLayout w:type="fixed"/>
        <w:tblLook w:val="04A0" w:firstRow="1" w:lastRow="0" w:firstColumn="1" w:lastColumn="0" w:noHBand="0" w:noVBand="1"/>
      </w:tblPr>
      <w:tblGrid>
        <w:gridCol w:w="392"/>
        <w:gridCol w:w="3827"/>
        <w:gridCol w:w="1134"/>
        <w:gridCol w:w="992"/>
        <w:gridCol w:w="851"/>
        <w:gridCol w:w="992"/>
      </w:tblGrid>
      <w:tr w:rsidR="008149CB" w:rsidRPr="001D025C" w:rsidTr="009F178F">
        <w:trPr>
          <w:trHeight w:val="300"/>
          <w:tblHeader/>
          <w:jc w:val="center"/>
        </w:trPr>
        <w:tc>
          <w:tcPr>
            <w:tcW w:w="8188" w:type="dxa"/>
            <w:gridSpan w:val="6"/>
            <w:noWrap/>
            <w:hideMark/>
          </w:tcPr>
          <w:p w:rsidR="008149CB" w:rsidRPr="008149CB" w:rsidRDefault="008149CB" w:rsidP="000C297D">
            <w:pPr>
              <w:jc w:val="center"/>
              <w:rPr>
                <w:rFonts w:cstheme="minorHAnsi"/>
                <w:b/>
                <w:bCs/>
                <w:sz w:val="18"/>
                <w:lang w:val="es-CO"/>
              </w:rPr>
            </w:pPr>
            <w:r w:rsidRPr="008149CB">
              <w:rPr>
                <w:rFonts w:cstheme="minorHAnsi"/>
                <w:b/>
                <w:bCs/>
                <w:sz w:val="18"/>
                <w:lang w:val="es-CO"/>
              </w:rPr>
              <w:t>Capacitación en Ley de Transparencia y Acceso a Información Pública</w:t>
            </w:r>
          </w:p>
        </w:tc>
      </w:tr>
      <w:tr w:rsidR="008149CB" w:rsidRPr="008149CB" w:rsidTr="009F178F">
        <w:trPr>
          <w:trHeight w:val="300"/>
          <w:tblHeader/>
          <w:jc w:val="center"/>
        </w:trPr>
        <w:tc>
          <w:tcPr>
            <w:tcW w:w="392" w:type="dxa"/>
            <w:hideMark/>
          </w:tcPr>
          <w:p w:rsidR="008149CB" w:rsidRPr="008149CB" w:rsidRDefault="008149CB" w:rsidP="000C297D">
            <w:pPr>
              <w:jc w:val="both"/>
              <w:rPr>
                <w:rFonts w:cstheme="minorHAnsi"/>
                <w:b/>
                <w:bCs/>
                <w:i/>
                <w:iCs/>
                <w:sz w:val="18"/>
                <w:lang w:val="es-CO"/>
              </w:rPr>
            </w:pPr>
          </w:p>
        </w:tc>
        <w:tc>
          <w:tcPr>
            <w:tcW w:w="3827" w:type="dxa"/>
            <w:hideMark/>
          </w:tcPr>
          <w:p w:rsidR="008149CB" w:rsidRPr="008149CB" w:rsidRDefault="008149CB" w:rsidP="000C297D">
            <w:pPr>
              <w:jc w:val="both"/>
              <w:rPr>
                <w:rFonts w:cstheme="minorHAnsi"/>
                <w:b/>
                <w:bCs/>
                <w:i/>
                <w:iCs/>
                <w:sz w:val="18"/>
                <w:lang w:val="es-CO"/>
              </w:rPr>
            </w:pPr>
            <w:r w:rsidRPr="008149CB">
              <w:rPr>
                <w:rFonts w:cstheme="minorHAnsi"/>
                <w:b/>
                <w:bCs/>
                <w:i/>
                <w:iCs/>
                <w:sz w:val="18"/>
                <w:lang w:val="es-CO"/>
              </w:rPr>
              <w:t xml:space="preserve">Entidad </w:t>
            </w:r>
          </w:p>
        </w:tc>
        <w:tc>
          <w:tcPr>
            <w:tcW w:w="1134" w:type="dxa"/>
            <w:hideMark/>
          </w:tcPr>
          <w:p w:rsidR="008149CB" w:rsidRPr="008149CB" w:rsidRDefault="008149CB" w:rsidP="000C297D">
            <w:pPr>
              <w:jc w:val="both"/>
              <w:rPr>
                <w:rFonts w:cstheme="minorHAnsi"/>
                <w:b/>
                <w:bCs/>
                <w:i/>
                <w:iCs/>
                <w:sz w:val="18"/>
                <w:lang w:val="es-CO"/>
              </w:rPr>
            </w:pPr>
            <w:r w:rsidRPr="008149CB">
              <w:rPr>
                <w:rFonts w:cstheme="minorHAnsi"/>
                <w:b/>
                <w:bCs/>
                <w:i/>
                <w:iCs/>
                <w:sz w:val="18"/>
                <w:lang w:val="es-CO"/>
              </w:rPr>
              <w:t>Modalidad</w:t>
            </w:r>
          </w:p>
        </w:tc>
        <w:tc>
          <w:tcPr>
            <w:tcW w:w="992" w:type="dxa"/>
            <w:hideMark/>
          </w:tcPr>
          <w:p w:rsidR="008149CB" w:rsidRPr="008149CB" w:rsidRDefault="008149CB" w:rsidP="000C297D">
            <w:pPr>
              <w:jc w:val="both"/>
              <w:rPr>
                <w:rFonts w:cstheme="minorHAnsi"/>
                <w:b/>
                <w:bCs/>
                <w:i/>
                <w:iCs/>
                <w:sz w:val="18"/>
                <w:lang w:val="es-CO"/>
              </w:rPr>
            </w:pPr>
            <w:r w:rsidRPr="008149CB">
              <w:rPr>
                <w:rFonts w:cstheme="minorHAnsi"/>
                <w:b/>
                <w:bCs/>
                <w:i/>
                <w:iCs/>
                <w:sz w:val="18"/>
                <w:lang w:val="es-CO"/>
              </w:rPr>
              <w:t>Ciudad</w:t>
            </w:r>
          </w:p>
        </w:tc>
        <w:tc>
          <w:tcPr>
            <w:tcW w:w="851" w:type="dxa"/>
            <w:noWrap/>
            <w:hideMark/>
          </w:tcPr>
          <w:p w:rsidR="008149CB" w:rsidRPr="008149CB" w:rsidRDefault="008149CB" w:rsidP="000C297D">
            <w:pPr>
              <w:jc w:val="both"/>
              <w:rPr>
                <w:rFonts w:cstheme="minorHAnsi"/>
                <w:b/>
                <w:bCs/>
                <w:i/>
                <w:iCs/>
                <w:sz w:val="18"/>
                <w:lang w:val="es-CO"/>
              </w:rPr>
            </w:pPr>
            <w:r w:rsidRPr="008149CB">
              <w:rPr>
                <w:rFonts w:cstheme="minorHAnsi"/>
                <w:b/>
                <w:bCs/>
                <w:i/>
                <w:iCs/>
                <w:sz w:val="18"/>
                <w:lang w:val="es-CO"/>
              </w:rPr>
              <w:t xml:space="preserve">Mes </w:t>
            </w:r>
          </w:p>
        </w:tc>
        <w:tc>
          <w:tcPr>
            <w:tcW w:w="992" w:type="dxa"/>
            <w:noWrap/>
            <w:hideMark/>
          </w:tcPr>
          <w:p w:rsidR="008149CB" w:rsidRPr="008149CB" w:rsidRDefault="008149CB" w:rsidP="000C297D">
            <w:pPr>
              <w:jc w:val="both"/>
              <w:rPr>
                <w:rFonts w:cstheme="minorHAnsi"/>
                <w:b/>
                <w:bCs/>
                <w:i/>
                <w:iCs/>
                <w:sz w:val="18"/>
                <w:lang w:val="es-CO"/>
              </w:rPr>
            </w:pPr>
            <w:r w:rsidRPr="008149CB">
              <w:rPr>
                <w:rFonts w:cstheme="minorHAnsi"/>
                <w:b/>
                <w:bCs/>
                <w:i/>
                <w:iCs/>
                <w:sz w:val="18"/>
                <w:lang w:val="es-CO"/>
              </w:rPr>
              <w:t>Asistentes</w:t>
            </w:r>
          </w:p>
        </w:tc>
      </w:tr>
      <w:tr w:rsidR="008149CB" w:rsidRPr="008149CB" w:rsidTr="009F178F">
        <w:trPr>
          <w:trHeight w:val="300"/>
          <w:jc w:val="center"/>
        </w:trPr>
        <w:tc>
          <w:tcPr>
            <w:tcW w:w="392" w:type="dxa"/>
            <w:hideMark/>
          </w:tcPr>
          <w:p w:rsidR="008149CB" w:rsidRPr="008149CB" w:rsidRDefault="008149CB" w:rsidP="000C297D">
            <w:pPr>
              <w:jc w:val="both"/>
              <w:rPr>
                <w:rFonts w:cstheme="minorHAnsi"/>
                <w:sz w:val="18"/>
                <w:lang w:val="es-CO"/>
              </w:rPr>
            </w:pPr>
            <w:r w:rsidRPr="008149CB">
              <w:rPr>
                <w:rFonts w:cstheme="minorHAnsi"/>
                <w:sz w:val="18"/>
                <w:lang w:val="es-CO"/>
              </w:rPr>
              <w:t>1</w:t>
            </w:r>
          </w:p>
        </w:tc>
        <w:tc>
          <w:tcPr>
            <w:tcW w:w="3827" w:type="dxa"/>
            <w:hideMark/>
          </w:tcPr>
          <w:p w:rsidR="008149CB" w:rsidRPr="008149CB" w:rsidRDefault="008149CB" w:rsidP="000C297D">
            <w:pPr>
              <w:jc w:val="both"/>
              <w:rPr>
                <w:rFonts w:cstheme="minorHAnsi"/>
                <w:sz w:val="18"/>
                <w:lang w:val="es-CO"/>
              </w:rPr>
            </w:pPr>
            <w:r w:rsidRPr="008149CB">
              <w:rPr>
                <w:rFonts w:cstheme="minorHAnsi"/>
                <w:sz w:val="18"/>
                <w:lang w:val="es-CO"/>
              </w:rPr>
              <w:t>Procuraduría General de la Nación</w:t>
            </w:r>
          </w:p>
        </w:tc>
        <w:tc>
          <w:tcPr>
            <w:tcW w:w="1134" w:type="dxa"/>
            <w:hideMark/>
          </w:tcPr>
          <w:p w:rsidR="008149CB" w:rsidRPr="008149CB" w:rsidRDefault="008149CB" w:rsidP="000C297D">
            <w:pPr>
              <w:jc w:val="center"/>
              <w:rPr>
                <w:rFonts w:cstheme="minorHAnsi"/>
                <w:sz w:val="18"/>
                <w:lang w:val="es-CO"/>
              </w:rPr>
            </w:pPr>
            <w:r w:rsidRPr="008149CB">
              <w:rPr>
                <w:rFonts w:cstheme="minorHAnsi"/>
                <w:sz w:val="18"/>
                <w:lang w:val="es-CO"/>
              </w:rPr>
              <w:t>Presencial</w:t>
            </w:r>
          </w:p>
        </w:tc>
        <w:tc>
          <w:tcPr>
            <w:tcW w:w="992" w:type="dxa"/>
            <w:hideMark/>
          </w:tcPr>
          <w:p w:rsidR="008149CB" w:rsidRPr="008149CB" w:rsidRDefault="008149CB" w:rsidP="000C297D">
            <w:pPr>
              <w:jc w:val="center"/>
              <w:rPr>
                <w:rFonts w:cstheme="minorHAnsi"/>
                <w:sz w:val="18"/>
                <w:lang w:val="es-CO"/>
              </w:rPr>
            </w:pPr>
            <w:r w:rsidRPr="008149CB">
              <w:rPr>
                <w:rFonts w:cstheme="minorHAnsi"/>
                <w:sz w:val="18"/>
                <w:lang w:val="es-CO"/>
              </w:rPr>
              <w:t>Bogotá</w:t>
            </w:r>
          </w:p>
        </w:tc>
        <w:tc>
          <w:tcPr>
            <w:tcW w:w="851" w:type="dxa"/>
            <w:hideMark/>
          </w:tcPr>
          <w:p w:rsidR="008149CB" w:rsidRPr="008149CB" w:rsidRDefault="008149CB" w:rsidP="000C297D">
            <w:pPr>
              <w:jc w:val="center"/>
              <w:rPr>
                <w:rFonts w:cstheme="minorHAnsi"/>
                <w:sz w:val="18"/>
                <w:lang w:val="es-CO"/>
              </w:rPr>
            </w:pPr>
            <w:r w:rsidRPr="008149CB">
              <w:rPr>
                <w:rFonts w:cstheme="minorHAnsi"/>
                <w:sz w:val="18"/>
                <w:lang w:val="es-CO"/>
              </w:rPr>
              <w:t>Enero</w:t>
            </w:r>
          </w:p>
        </w:tc>
        <w:tc>
          <w:tcPr>
            <w:tcW w:w="992" w:type="dxa"/>
            <w:hideMark/>
          </w:tcPr>
          <w:p w:rsidR="008149CB" w:rsidRPr="008149CB" w:rsidRDefault="008149CB" w:rsidP="000C297D">
            <w:pPr>
              <w:jc w:val="center"/>
              <w:rPr>
                <w:rFonts w:cstheme="minorHAnsi"/>
                <w:sz w:val="18"/>
                <w:lang w:val="es-CO"/>
              </w:rPr>
            </w:pPr>
            <w:r w:rsidRPr="008149CB">
              <w:rPr>
                <w:rFonts w:cstheme="minorHAnsi"/>
                <w:sz w:val="18"/>
                <w:lang w:val="es-CO"/>
              </w:rPr>
              <w:t>6</w:t>
            </w:r>
          </w:p>
        </w:tc>
      </w:tr>
      <w:tr w:rsidR="008149CB" w:rsidRPr="008149CB" w:rsidTr="009F178F">
        <w:trPr>
          <w:trHeight w:val="300"/>
          <w:jc w:val="center"/>
        </w:trPr>
        <w:tc>
          <w:tcPr>
            <w:tcW w:w="392" w:type="dxa"/>
            <w:hideMark/>
          </w:tcPr>
          <w:p w:rsidR="008149CB" w:rsidRPr="008149CB" w:rsidRDefault="008149CB" w:rsidP="000C297D">
            <w:pPr>
              <w:jc w:val="both"/>
              <w:rPr>
                <w:rFonts w:cstheme="minorHAnsi"/>
                <w:sz w:val="18"/>
                <w:lang w:val="es-CO"/>
              </w:rPr>
            </w:pPr>
            <w:r w:rsidRPr="008149CB">
              <w:rPr>
                <w:rFonts w:cstheme="minorHAnsi"/>
                <w:sz w:val="18"/>
                <w:lang w:val="es-CO"/>
              </w:rPr>
              <w:t>2</w:t>
            </w:r>
          </w:p>
        </w:tc>
        <w:tc>
          <w:tcPr>
            <w:tcW w:w="3827" w:type="dxa"/>
            <w:hideMark/>
          </w:tcPr>
          <w:p w:rsidR="008149CB" w:rsidRPr="008149CB" w:rsidRDefault="008149CB" w:rsidP="000C297D">
            <w:pPr>
              <w:jc w:val="both"/>
              <w:rPr>
                <w:rFonts w:cstheme="minorHAnsi"/>
                <w:sz w:val="18"/>
                <w:lang w:val="es-CO"/>
              </w:rPr>
            </w:pPr>
            <w:r w:rsidRPr="008149CB">
              <w:rPr>
                <w:rFonts w:cstheme="minorHAnsi"/>
                <w:sz w:val="18"/>
                <w:lang w:val="es-CO"/>
              </w:rPr>
              <w:t xml:space="preserve">Gobernación del Huila </w:t>
            </w:r>
          </w:p>
        </w:tc>
        <w:tc>
          <w:tcPr>
            <w:tcW w:w="1134" w:type="dxa"/>
            <w:hideMark/>
          </w:tcPr>
          <w:p w:rsidR="008149CB" w:rsidRPr="008149CB" w:rsidRDefault="008149CB" w:rsidP="000C297D">
            <w:pPr>
              <w:jc w:val="center"/>
              <w:rPr>
                <w:rFonts w:cstheme="minorHAnsi"/>
                <w:sz w:val="18"/>
                <w:lang w:val="es-CO"/>
              </w:rPr>
            </w:pPr>
            <w:r w:rsidRPr="008149CB">
              <w:rPr>
                <w:rFonts w:cstheme="minorHAnsi"/>
                <w:sz w:val="18"/>
                <w:lang w:val="es-CO"/>
              </w:rPr>
              <w:t>Presencial</w:t>
            </w:r>
          </w:p>
        </w:tc>
        <w:tc>
          <w:tcPr>
            <w:tcW w:w="992" w:type="dxa"/>
            <w:hideMark/>
          </w:tcPr>
          <w:p w:rsidR="008149CB" w:rsidRPr="008149CB" w:rsidRDefault="008149CB" w:rsidP="000C297D">
            <w:pPr>
              <w:jc w:val="center"/>
              <w:rPr>
                <w:rFonts w:cstheme="minorHAnsi"/>
                <w:sz w:val="18"/>
                <w:lang w:val="es-CO"/>
              </w:rPr>
            </w:pPr>
            <w:r w:rsidRPr="008149CB">
              <w:rPr>
                <w:rFonts w:cstheme="minorHAnsi"/>
                <w:sz w:val="18"/>
                <w:lang w:val="es-CO"/>
              </w:rPr>
              <w:t>Neiva</w:t>
            </w:r>
          </w:p>
        </w:tc>
        <w:tc>
          <w:tcPr>
            <w:tcW w:w="851" w:type="dxa"/>
            <w:hideMark/>
          </w:tcPr>
          <w:p w:rsidR="008149CB" w:rsidRPr="008149CB" w:rsidRDefault="008149CB" w:rsidP="000C297D">
            <w:pPr>
              <w:jc w:val="center"/>
              <w:rPr>
                <w:rFonts w:cstheme="minorHAnsi"/>
                <w:sz w:val="18"/>
                <w:lang w:val="es-CO"/>
              </w:rPr>
            </w:pPr>
            <w:r w:rsidRPr="008149CB">
              <w:rPr>
                <w:rFonts w:cstheme="minorHAnsi"/>
                <w:sz w:val="18"/>
                <w:lang w:val="es-CO"/>
              </w:rPr>
              <w:t>Febrero</w:t>
            </w:r>
          </w:p>
        </w:tc>
        <w:tc>
          <w:tcPr>
            <w:tcW w:w="992" w:type="dxa"/>
            <w:hideMark/>
          </w:tcPr>
          <w:p w:rsidR="008149CB" w:rsidRPr="008149CB" w:rsidRDefault="008149CB" w:rsidP="000C297D">
            <w:pPr>
              <w:jc w:val="center"/>
              <w:rPr>
                <w:rFonts w:cstheme="minorHAnsi"/>
                <w:sz w:val="18"/>
                <w:lang w:val="es-CO"/>
              </w:rPr>
            </w:pPr>
            <w:r w:rsidRPr="008149CB">
              <w:rPr>
                <w:rFonts w:cstheme="minorHAnsi"/>
                <w:sz w:val="18"/>
                <w:lang w:val="es-CO"/>
              </w:rPr>
              <w:t>61</w:t>
            </w:r>
          </w:p>
        </w:tc>
      </w:tr>
      <w:tr w:rsidR="008149CB" w:rsidRPr="008149CB" w:rsidTr="009F178F">
        <w:trPr>
          <w:trHeight w:val="300"/>
          <w:jc w:val="center"/>
        </w:trPr>
        <w:tc>
          <w:tcPr>
            <w:tcW w:w="392" w:type="dxa"/>
            <w:hideMark/>
          </w:tcPr>
          <w:p w:rsidR="008149CB" w:rsidRPr="008149CB" w:rsidRDefault="008149CB" w:rsidP="000C297D">
            <w:pPr>
              <w:jc w:val="both"/>
              <w:rPr>
                <w:rFonts w:cstheme="minorHAnsi"/>
                <w:sz w:val="18"/>
                <w:lang w:val="es-CO"/>
              </w:rPr>
            </w:pPr>
            <w:r w:rsidRPr="008149CB">
              <w:rPr>
                <w:rFonts w:cstheme="minorHAnsi"/>
                <w:sz w:val="18"/>
                <w:lang w:val="es-CO"/>
              </w:rPr>
              <w:t>3</w:t>
            </w:r>
          </w:p>
        </w:tc>
        <w:tc>
          <w:tcPr>
            <w:tcW w:w="3827" w:type="dxa"/>
            <w:hideMark/>
          </w:tcPr>
          <w:p w:rsidR="008149CB" w:rsidRPr="008149CB" w:rsidRDefault="008149CB" w:rsidP="000C297D">
            <w:pPr>
              <w:jc w:val="both"/>
              <w:rPr>
                <w:rFonts w:cstheme="minorHAnsi"/>
                <w:sz w:val="18"/>
                <w:lang w:val="es-CO"/>
              </w:rPr>
            </w:pPr>
            <w:r w:rsidRPr="008149CB">
              <w:rPr>
                <w:rFonts w:cstheme="minorHAnsi"/>
                <w:sz w:val="18"/>
                <w:lang w:val="es-CO"/>
              </w:rPr>
              <w:t>Alcaldía de Neiva</w:t>
            </w:r>
          </w:p>
        </w:tc>
        <w:tc>
          <w:tcPr>
            <w:tcW w:w="1134" w:type="dxa"/>
            <w:hideMark/>
          </w:tcPr>
          <w:p w:rsidR="008149CB" w:rsidRPr="008149CB" w:rsidRDefault="008149CB" w:rsidP="000C297D">
            <w:pPr>
              <w:jc w:val="center"/>
              <w:rPr>
                <w:rFonts w:cstheme="minorHAnsi"/>
                <w:sz w:val="18"/>
                <w:lang w:val="es-CO"/>
              </w:rPr>
            </w:pPr>
            <w:r w:rsidRPr="008149CB">
              <w:rPr>
                <w:rFonts w:cstheme="minorHAnsi"/>
                <w:sz w:val="18"/>
                <w:lang w:val="es-CO"/>
              </w:rPr>
              <w:t>Presencial</w:t>
            </w:r>
          </w:p>
        </w:tc>
        <w:tc>
          <w:tcPr>
            <w:tcW w:w="992" w:type="dxa"/>
            <w:hideMark/>
          </w:tcPr>
          <w:p w:rsidR="008149CB" w:rsidRPr="008149CB" w:rsidRDefault="008149CB" w:rsidP="000C297D">
            <w:pPr>
              <w:jc w:val="center"/>
              <w:rPr>
                <w:rFonts w:cstheme="minorHAnsi"/>
                <w:sz w:val="18"/>
                <w:lang w:val="es-CO"/>
              </w:rPr>
            </w:pPr>
            <w:r w:rsidRPr="008149CB">
              <w:rPr>
                <w:rFonts w:cstheme="minorHAnsi"/>
                <w:sz w:val="18"/>
                <w:lang w:val="es-CO"/>
              </w:rPr>
              <w:t>Neiva</w:t>
            </w:r>
          </w:p>
        </w:tc>
        <w:tc>
          <w:tcPr>
            <w:tcW w:w="851" w:type="dxa"/>
            <w:hideMark/>
          </w:tcPr>
          <w:p w:rsidR="008149CB" w:rsidRPr="008149CB" w:rsidRDefault="008149CB" w:rsidP="000C297D">
            <w:pPr>
              <w:jc w:val="center"/>
              <w:rPr>
                <w:rFonts w:cstheme="minorHAnsi"/>
                <w:sz w:val="18"/>
                <w:lang w:val="es-CO"/>
              </w:rPr>
            </w:pPr>
            <w:r w:rsidRPr="008149CB">
              <w:rPr>
                <w:rFonts w:cstheme="minorHAnsi"/>
                <w:sz w:val="18"/>
                <w:lang w:val="es-CO"/>
              </w:rPr>
              <w:t>Febrero</w:t>
            </w:r>
          </w:p>
        </w:tc>
        <w:tc>
          <w:tcPr>
            <w:tcW w:w="992" w:type="dxa"/>
            <w:hideMark/>
          </w:tcPr>
          <w:p w:rsidR="008149CB" w:rsidRPr="008149CB" w:rsidRDefault="008149CB" w:rsidP="000C297D">
            <w:pPr>
              <w:jc w:val="center"/>
              <w:rPr>
                <w:rFonts w:cstheme="minorHAnsi"/>
                <w:sz w:val="18"/>
                <w:lang w:val="es-CO"/>
              </w:rPr>
            </w:pPr>
            <w:r w:rsidRPr="008149CB">
              <w:rPr>
                <w:rFonts w:cstheme="minorHAnsi"/>
                <w:sz w:val="18"/>
                <w:lang w:val="es-CO"/>
              </w:rPr>
              <w:t>57</w:t>
            </w:r>
          </w:p>
        </w:tc>
      </w:tr>
      <w:tr w:rsidR="008149CB" w:rsidRPr="008149CB" w:rsidTr="009F178F">
        <w:trPr>
          <w:trHeight w:val="300"/>
          <w:jc w:val="center"/>
        </w:trPr>
        <w:tc>
          <w:tcPr>
            <w:tcW w:w="392" w:type="dxa"/>
            <w:hideMark/>
          </w:tcPr>
          <w:p w:rsidR="008149CB" w:rsidRPr="008149CB" w:rsidRDefault="008149CB" w:rsidP="000C297D">
            <w:pPr>
              <w:jc w:val="both"/>
              <w:rPr>
                <w:rFonts w:cstheme="minorHAnsi"/>
                <w:sz w:val="18"/>
                <w:lang w:val="es-CO"/>
              </w:rPr>
            </w:pPr>
            <w:r w:rsidRPr="008149CB">
              <w:rPr>
                <w:rFonts w:cstheme="minorHAnsi"/>
                <w:sz w:val="18"/>
                <w:lang w:val="es-CO"/>
              </w:rPr>
              <w:t>4</w:t>
            </w:r>
          </w:p>
        </w:tc>
        <w:tc>
          <w:tcPr>
            <w:tcW w:w="3827" w:type="dxa"/>
            <w:hideMark/>
          </w:tcPr>
          <w:p w:rsidR="008149CB" w:rsidRPr="008149CB" w:rsidRDefault="008149CB" w:rsidP="000C297D">
            <w:pPr>
              <w:jc w:val="both"/>
              <w:rPr>
                <w:rFonts w:cstheme="minorHAnsi"/>
                <w:sz w:val="18"/>
                <w:lang w:val="es-CO"/>
              </w:rPr>
            </w:pPr>
            <w:r w:rsidRPr="008149CB">
              <w:rPr>
                <w:rFonts w:cstheme="minorHAnsi"/>
                <w:sz w:val="18"/>
                <w:lang w:val="es-CO"/>
              </w:rPr>
              <w:t>Ministerio de Vivienda, Ciudad y Territorio</w:t>
            </w:r>
          </w:p>
        </w:tc>
        <w:tc>
          <w:tcPr>
            <w:tcW w:w="1134" w:type="dxa"/>
            <w:hideMark/>
          </w:tcPr>
          <w:p w:rsidR="008149CB" w:rsidRPr="008149CB" w:rsidRDefault="008149CB" w:rsidP="000C297D">
            <w:pPr>
              <w:jc w:val="center"/>
              <w:rPr>
                <w:rFonts w:cstheme="minorHAnsi"/>
                <w:sz w:val="18"/>
                <w:lang w:val="es-CO"/>
              </w:rPr>
            </w:pPr>
            <w:r w:rsidRPr="008149CB">
              <w:rPr>
                <w:rFonts w:cstheme="minorHAnsi"/>
                <w:sz w:val="18"/>
                <w:lang w:val="es-CO"/>
              </w:rPr>
              <w:t>Presencial</w:t>
            </w:r>
          </w:p>
        </w:tc>
        <w:tc>
          <w:tcPr>
            <w:tcW w:w="992" w:type="dxa"/>
            <w:hideMark/>
          </w:tcPr>
          <w:p w:rsidR="008149CB" w:rsidRPr="008149CB" w:rsidRDefault="008149CB" w:rsidP="000C297D">
            <w:pPr>
              <w:jc w:val="center"/>
              <w:rPr>
                <w:rFonts w:cstheme="minorHAnsi"/>
                <w:sz w:val="18"/>
                <w:lang w:val="es-CO"/>
              </w:rPr>
            </w:pPr>
            <w:r w:rsidRPr="008149CB">
              <w:rPr>
                <w:rFonts w:cstheme="minorHAnsi"/>
                <w:sz w:val="18"/>
                <w:lang w:val="es-CO"/>
              </w:rPr>
              <w:t>Bogotá</w:t>
            </w:r>
          </w:p>
        </w:tc>
        <w:tc>
          <w:tcPr>
            <w:tcW w:w="851" w:type="dxa"/>
            <w:hideMark/>
          </w:tcPr>
          <w:p w:rsidR="008149CB" w:rsidRPr="008149CB" w:rsidRDefault="008149CB" w:rsidP="000C297D">
            <w:pPr>
              <w:jc w:val="center"/>
              <w:rPr>
                <w:rFonts w:cstheme="minorHAnsi"/>
                <w:sz w:val="18"/>
                <w:lang w:val="es-CO"/>
              </w:rPr>
            </w:pPr>
            <w:r w:rsidRPr="008149CB">
              <w:rPr>
                <w:rFonts w:cstheme="minorHAnsi"/>
                <w:sz w:val="18"/>
                <w:lang w:val="es-CO"/>
              </w:rPr>
              <w:t>Febrero</w:t>
            </w:r>
          </w:p>
        </w:tc>
        <w:tc>
          <w:tcPr>
            <w:tcW w:w="992" w:type="dxa"/>
            <w:hideMark/>
          </w:tcPr>
          <w:p w:rsidR="008149CB" w:rsidRPr="008149CB" w:rsidRDefault="008149CB" w:rsidP="000C297D">
            <w:pPr>
              <w:jc w:val="center"/>
              <w:rPr>
                <w:rFonts w:cstheme="minorHAnsi"/>
                <w:sz w:val="18"/>
                <w:lang w:val="es-CO"/>
              </w:rPr>
            </w:pPr>
            <w:r w:rsidRPr="008149CB">
              <w:rPr>
                <w:rFonts w:cstheme="minorHAnsi"/>
                <w:sz w:val="18"/>
                <w:lang w:val="es-CO"/>
              </w:rPr>
              <w:t>17</w:t>
            </w:r>
          </w:p>
        </w:tc>
      </w:tr>
      <w:tr w:rsidR="008149CB" w:rsidRPr="008149CB" w:rsidTr="009F178F">
        <w:trPr>
          <w:trHeight w:val="300"/>
          <w:jc w:val="center"/>
        </w:trPr>
        <w:tc>
          <w:tcPr>
            <w:tcW w:w="392" w:type="dxa"/>
            <w:hideMark/>
          </w:tcPr>
          <w:p w:rsidR="008149CB" w:rsidRPr="008149CB" w:rsidRDefault="008149CB" w:rsidP="000C297D">
            <w:pPr>
              <w:jc w:val="both"/>
              <w:rPr>
                <w:rFonts w:cstheme="minorHAnsi"/>
                <w:sz w:val="18"/>
                <w:lang w:val="es-CO"/>
              </w:rPr>
            </w:pPr>
            <w:r w:rsidRPr="008149CB">
              <w:rPr>
                <w:rFonts w:cstheme="minorHAnsi"/>
                <w:sz w:val="18"/>
                <w:lang w:val="es-CO"/>
              </w:rPr>
              <w:t>5</w:t>
            </w:r>
          </w:p>
        </w:tc>
        <w:tc>
          <w:tcPr>
            <w:tcW w:w="3827" w:type="dxa"/>
            <w:hideMark/>
          </w:tcPr>
          <w:p w:rsidR="008149CB" w:rsidRPr="008149CB" w:rsidRDefault="008149CB" w:rsidP="000C297D">
            <w:pPr>
              <w:jc w:val="both"/>
              <w:rPr>
                <w:rFonts w:cstheme="minorHAnsi"/>
                <w:sz w:val="18"/>
                <w:lang w:val="es-CO"/>
              </w:rPr>
            </w:pPr>
            <w:r w:rsidRPr="008149CB">
              <w:rPr>
                <w:rFonts w:cstheme="minorHAnsi"/>
                <w:sz w:val="18"/>
                <w:lang w:val="es-CO"/>
              </w:rPr>
              <w:t>Capacitación a Ciudadanos</w:t>
            </w:r>
          </w:p>
        </w:tc>
        <w:tc>
          <w:tcPr>
            <w:tcW w:w="1134" w:type="dxa"/>
            <w:hideMark/>
          </w:tcPr>
          <w:p w:rsidR="008149CB" w:rsidRPr="008149CB" w:rsidRDefault="008149CB" w:rsidP="000C297D">
            <w:pPr>
              <w:jc w:val="center"/>
              <w:rPr>
                <w:rFonts w:cstheme="minorHAnsi"/>
                <w:sz w:val="18"/>
                <w:lang w:val="es-CO"/>
              </w:rPr>
            </w:pPr>
            <w:r w:rsidRPr="008149CB">
              <w:rPr>
                <w:rFonts w:cstheme="minorHAnsi"/>
                <w:sz w:val="18"/>
                <w:lang w:val="es-CO"/>
              </w:rPr>
              <w:t>Presencial</w:t>
            </w:r>
          </w:p>
        </w:tc>
        <w:tc>
          <w:tcPr>
            <w:tcW w:w="992" w:type="dxa"/>
            <w:hideMark/>
          </w:tcPr>
          <w:p w:rsidR="008149CB" w:rsidRPr="008149CB" w:rsidRDefault="008149CB" w:rsidP="000C297D">
            <w:pPr>
              <w:jc w:val="center"/>
              <w:rPr>
                <w:rFonts w:cstheme="minorHAnsi"/>
                <w:sz w:val="18"/>
                <w:lang w:val="es-CO"/>
              </w:rPr>
            </w:pPr>
            <w:r w:rsidRPr="008149CB">
              <w:rPr>
                <w:rFonts w:cstheme="minorHAnsi"/>
                <w:sz w:val="18"/>
                <w:lang w:val="es-CO"/>
              </w:rPr>
              <w:t>Bogotá</w:t>
            </w:r>
          </w:p>
        </w:tc>
        <w:tc>
          <w:tcPr>
            <w:tcW w:w="851" w:type="dxa"/>
            <w:hideMark/>
          </w:tcPr>
          <w:p w:rsidR="008149CB" w:rsidRPr="008149CB" w:rsidRDefault="008149CB" w:rsidP="000C297D">
            <w:pPr>
              <w:jc w:val="center"/>
              <w:rPr>
                <w:rFonts w:cstheme="minorHAnsi"/>
                <w:sz w:val="18"/>
                <w:lang w:val="es-CO"/>
              </w:rPr>
            </w:pPr>
            <w:r w:rsidRPr="008149CB">
              <w:rPr>
                <w:rFonts w:cstheme="minorHAnsi"/>
                <w:sz w:val="18"/>
                <w:lang w:val="es-CO"/>
              </w:rPr>
              <w:t>Febrero</w:t>
            </w:r>
          </w:p>
        </w:tc>
        <w:tc>
          <w:tcPr>
            <w:tcW w:w="992" w:type="dxa"/>
            <w:hideMark/>
          </w:tcPr>
          <w:p w:rsidR="008149CB" w:rsidRPr="008149CB" w:rsidRDefault="008149CB" w:rsidP="000C297D">
            <w:pPr>
              <w:jc w:val="center"/>
              <w:rPr>
                <w:rFonts w:cstheme="minorHAnsi"/>
                <w:sz w:val="18"/>
                <w:lang w:val="es-CO"/>
              </w:rPr>
            </w:pPr>
            <w:r w:rsidRPr="008149CB">
              <w:rPr>
                <w:rFonts w:cstheme="minorHAnsi"/>
                <w:sz w:val="18"/>
                <w:lang w:val="es-CO"/>
              </w:rPr>
              <w:t>9</w:t>
            </w:r>
          </w:p>
        </w:tc>
      </w:tr>
      <w:tr w:rsidR="008149CB" w:rsidRPr="008149CB" w:rsidTr="009F178F">
        <w:trPr>
          <w:trHeight w:val="300"/>
          <w:jc w:val="center"/>
        </w:trPr>
        <w:tc>
          <w:tcPr>
            <w:tcW w:w="392" w:type="dxa"/>
            <w:hideMark/>
          </w:tcPr>
          <w:p w:rsidR="008149CB" w:rsidRPr="008149CB" w:rsidRDefault="008149CB" w:rsidP="000C297D">
            <w:pPr>
              <w:jc w:val="both"/>
              <w:rPr>
                <w:rFonts w:cstheme="minorHAnsi"/>
                <w:sz w:val="18"/>
                <w:lang w:val="es-CO"/>
              </w:rPr>
            </w:pPr>
            <w:r w:rsidRPr="008149CB">
              <w:rPr>
                <w:rFonts w:cstheme="minorHAnsi"/>
                <w:sz w:val="18"/>
                <w:lang w:val="es-CO"/>
              </w:rPr>
              <w:t>6</w:t>
            </w:r>
          </w:p>
        </w:tc>
        <w:tc>
          <w:tcPr>
            <w:tcW w:w="3827" w:type="dxa"/>
            <w:hideMark/>
          </w:tcPr>
          <w:p w:rsidR="008149CB" w:rsidRPr="008149CB" w:rsidRDefault="008149CB" w:rsidP="000C297D">
            <w:pPr>
              <w:jc w:val="both"/>
              <w:rPr>
                <w:rFonts w:cstheme="minorHAnsi"/>
                <w:sz w:val="18"/>
                <w:lang w:val="es-CO"/>
              </w:rPr>
            </w:pPr>
            <w:r w:rsidRPr="008149CB">
              <w:rPr>
                <w:rFonts w:cstheme="minorHAnsi"/>
                <w:sz w:val="18"/>
                <w:lang w:val="es-CO"/>
              </w:rPr>
              <w:t>IDEARTE</w:t>
            </w:r>
          </w:p>
        </w:tc>
        <w:tc>
          <w:tcPr>
            <w:tcW w:w="1134" w:type="dxa"/>
            <w:hideMark/>
          </w:tcPr>
          <w:p w:rsidR="008149CB" w:rsidRPr="008149CB" w:rsidRDefault="008149CB" w:rsidP="000C297D">
            <w:pPr>
              <w:jc w:val="center"/>
              <w:rPr>
                <w:rFonts w:cstheme="minorHAnsi"/>
                <w:sz w:val="18"/>
                <w:lang w:val="es-CO"/>
              </w:rPr>
            </w:pPr>
            <w:r w:rsidRPr="008149CB">
              <w:rPr>
                <w:rFonts w:cstheme="minorHAnsi"/>
                <w:sz w:val="18"/>
                <w:lang w:val="es-CO"/>
              </w:rPr>
              <w:t>Presencial</w:t>
            </w:r>
          </w:p>
        </w:tc>
        <w:tc>
          <w:tcPr>
            <w:tcW w:w="992" w:type="dxa"/>
            <w:hideMark/>
          </w:tcPr>
          <w:p w:rsidR="008149CB" w:rsidRPr="008149CB" w:rsidRDefault="008149CB" w:rsidP="000C297D">
            <w:pPr>
              <w:jc w:val="center"/>
              <w:rPr>
                <w:rFonts w:cstheme="minorHAnsi"/>
                <w:sz w:val="18"/>
                <w:lang w:val="es-CO"/>
              </w:rPr>
            </w:pPr>
            <w:r w:rsidRPr="008149CB">
              <w:rPr>
                <w:rFonts w:cstheme="minorHAnsi"/>
                <w:sz w:val="18"/>
                <w:lang w:val="es-CO"/>
              </w:rPr>
              <w:t>Bogotá</w:t>
            </w:r>
          </w:p>
        </w:tc>
        <w:tc>
          <w:tcPr>
            <w:tcW w:w="851" w:type="dxa"/>
            <w:hideMark/>
          </w:tcPr>
          <w:p w:rsidR="008149CB" w:rsidRPr="008149CB" w:rsidRDefault="008149CB" w:rsidP="000C297D">
            <w:pPr>
              <w:jc w:val="center"/>
              <w:rPr>
                <w:rFonts w:cstheme="minorHAnsi"/>
                <w:sz w:val="18"/>
                <w:lang w:val="es-CO"/>
              </w:rPr>
            </w:pPr>
            <w:r w:rsidRPr="008149CB">
              <w:rPr>
                <w:rFonts w:cstheme="minorHAnsi"/>
                <w:sz w:val="18"/>
                <w:lang w:val="es-CO"/>
              </w:rPr>
              <w:t>Febrero</w:t>
            </w:r>
          </w:p>
        </w:tc>
        <w:tc>
          <w:tcPr>
            <w:tcW w:w="992" w:type="dxa"/>
            <w:hideMark/>
          </w:tcPr>
          <w:p w:rsidR="008149CB" w:rsidRPr="008149CB" w:rsidRDefault="008149CB" w:rsidP="000C297D">
            <w:pPr>
              <w:jc w:val="center"/>
              <w:rPr>
                <w:rFonts w:cstheme="minorHAnsi"/>
                <w:sz w:val="18"/>
                <w:lang w:val="es-CO"/>
              </w:rPr>
            </w:pPr>
            <w:r w:rsidRPr="008149CB">
              <w:rPr>
                <w:rFonts w:cstheme="minorHAnsi"/>
                <w:sz w:val="18"/>
                <w:lang w:val="es-CO"/>
              </w:rPr>
              <w:t>12</w:t>
            </w:r>
          </w:p>
        </w:tc>
      </w:tr>
      <w:tr w:rsidR="008149CB" w:rsidRPr="008149CB" w:rsidTr="009F178F">
        <w:trPr>
          <w:trHeight w:val="300"/>
          <w:jc w:val="center"/>
        </w:trPr>
        <w:tc>
          <w:tcPr>
            <w:tcW w:w="392" w:type="dxa"/>
            <w:hideMark/>
          </w:tcPr>
          <w:p w:rsidR="008149CB" w:rsidRPr="008149CB" w:rsidRDefault="008149CB" w:rsidP="000C297D">
            <w:pPr>
              <w:jc w:val="both"/>
              <w:rPr>
                <w:rFonts w:cstheme="minorHAnsi"/>
                <w:sz w:val="18"/>
                <w:lang w:val="es-CO"/>
              </w:rPr>
            </w:pPr>
            <w:r w:rsidRPr="008149CB">
              <w:rPr>
                <w:rFonts w:cstheme="minorHAnsi"/>
                <w:sz w:val="18"/>
                <w:lang w:val="es-CO"/>
              </w:rPr>
              <w:t>7</w:t>
            </w:r>
          </w:p>
        </w:tc>
        <w:tc>
          <w:tcPr>
            <w:tcW w:w="3827" w:type="dxa"/>
            <w:hideMark/>
          </w:tcPr>
          <w:p w:rsidR="008149CB" w:rsidRPr="008149CB" w:rsidRDefault="008149CB" w:rsidP="000C297D">
            <w:pPr>
              <w:jc w:val="both"/>
              <w:rPr>
                <w:rFonts w:cstheme="minorHAnsi"/>
                <w:sz w:val="18"/>
                <w:lang w:val="es-CO"/>
              </w:rPr>
            </w:pPr>
            <w:r w:rsidRPr="008149CB">
              <w:rPr>
                <w:rFonts w:cstheme="minorHAnsi"/>
                <w:sz w:val="18"/>
                <w:lang w:val="es-CO"/>
              </w:rPr>
              <w:t xml:space="preserve">Ejército Nacional </w:t>
            </w:r>
          </w:p>
        </w:tc>
        <w:tc>
          <w:tcPr>
            <w:tcW w:w="1134" w:type="dxa"/>
            <w:hideMark/>
          </w:tcPr>
          <w:p w:rsidR="008149CB" w:rsidRPr="008149CB" w:rsidRDefault="008149CB" w:rsidP="000C297D">
            <w:pPr>
              <w:jc w:val="center"/>
              <w:rPr>
                <w:rFonts w:cstheme="minorHAnsi"/>
                <w:sz w:val="18"/>
                <w:lang w:val="es-CO"/>
              </w:rPr>
            </w:pPr>
            <w:r w:rsidRPr="008149CB">
              <w:rPr>
                <w:rFonts w:cstheme="minorHAnsi"/>
                <w:sz w:val="18"/>
                <w:lang w:val="es-CO"/>
              </w:rPr>
              <w:t>Presencial</w:t>
            </w:r>
          </w:p>
        </w:tc>
        <w:tc>
          <w:tcPr>
            <w:tcW w:w="992" w:type="dxa"/>
            <w:hideMark/>
          </w:tcPr>
          <w:p w:rsidR="008149CB" w:rsidRPr="008149CB" w:rsidRDefault="008149CB" w:rsidP="000C297D">
            <w:pPr>
              <w:jc w:val="center"/>
              <w:rPr>
                <w:rFonts w:cstheme="minorHAnsi"/>
                <w:sz w:val="18"/>
                <w:lang w:val="es-CO"/>
              </w:rPr>
            </w:pPr>
            <w:r w:rsidRPr="008149CB">
              <w:rPr>
                <w:rFonts w:cstheme="minorHAnsi"/>
                <w:sz w:val="18"/>
                <w:lang w:val="es-CO"/>
              </w:rPr>
              <w:t>Bogotá</w:t>
            </w:r>
          </w:p>
        </w:tc>
        <w:tc>
          <w:tcPr>
            <w:tcW w:w="851" w:type="dxa"/>
            <w:hideMark/>
          </w:tcPr>
          <w:p w:rsidR="008149CB" w:rsidRPr="008149CB" w:rsidRDefault="008149CB" w:rsidP="000C297D">
            <w:pPr>
              <w:jc w:val="center"/>
              <w:rPr>
                <w:rFonts w:cstheme="minorHAnsi"/>
                <w:sz w:val="18"/>
                <w:lang w:val="es-CO"/>
              </w:rPr>
            </w:pPr>
            <w:r w:rsidRPr="008149CB">
              <w:rPr>
                <w:rFonts w:cstheme="minorHAnsi"/>
                <w:sz w:val="18"/>
                <w:lang w:val="es-CO"/>
              </w:rPr>
              <w:t>Febrero</w:t>
            </w:r>
          </w:p>
        </w:tc>
        <w:tc>
          <w:tcPr>
            <w:tcW w:w="992" w:type="dxa"/>
            <w:hideMark/>
          </w:tcPr>
          <w:p w:rsidR="008149CB" w:rsidRPr="008149CB" w:rsidRDefault="008149CB" w:rsidP="000C297D">
            <w:pPr>
              <w:jc w:val="center"/>
              <w:rPr>
                <w:rFonts w:cstheme="minorHAnsi"/>
                <w:sz w:val="18"/>
                <w:lang w:val="es-CO"/>
              </w:rPr>
            </w:pPr>
            <w:r w:rsidRPr="008149CB">
              <w:rPr>
                <w:rFonts w:cstheme="minorHAnsi"/>
                <w:sz w:val="18"/>
                <w:lang w:val="es-CO"/>
              </w:rPr>
              <w:t>2</w:t>
            </w:r>
          </w:p>
        </w:tc>
      </w:tr>
      <w:tr w:rsidR="008149CB" w:rsidRPr="008149CB" w:rsidTr="009F178F">
        <w:trPr>
          <w:trHeight w:val="300"/>
          <w:jc w:val="center"/>
        </w:trPr>
        <w:tc>
          <w:tcPr>
            <w:tcW w:w="392" w:type="dxa"/>
            <w:hideMark/>
          </w:tcPr>
          <w:p w:rsidR="008149CB" w:rsidRPr="008149CB" w:rsidRDefault="008149CB" w:rsidP="000C297D">
            <w:pPr>
              <w:jc w:val="both"/>
              <w:rPr>
                <w:rFonts w:cstheme="minorHAnsi"/>
                <w:sz w:val="18"/>
                <w:lang w:val="es-CO"/>
              </w:rPr>
            </w:pPr>
            <w:r w:rsidRPr="008149CB">
              <w:rPr>
                <w:rFonts w:cstheme="minorHAnsi"/>
                <w:sz w:val="18"/>
                <w:lang w:val="es-CO"/>
              </w:rPr>
              <w:t>8</w:t>
            </w:r>
          </w:p>
        </w:tc>
        <w:tc>
          <w:tcPr>
            <w:tcW w:w="3827" w:type="dxa"/>
            <w:hideMark/>
          </w:tcPr>
          <w:p w:rsidR="008149CB" w:rsidRPr="008149CB" w:rsidRDefault="008149CB" w:rsidP="000C297D">
            <w:pPr>
              <w:jc w:val="both"/>
              <w:rPr>
                <w:rFonts w:cstheme="minorHAnsi"/>
                <w:sz w:val="18"/>
                <w:lang w:val="es-CO"/>
              </w:rPr>
            </w:pPr>
            <w:r w:rsidRPr="008149CB">
              <w:rPr>
                <w:rFonts w:cstheme="minorHAnsi"/>
                <w:sz w:val="18"/>
                <w:lang w:val="es-CO"/>
              </w:rPr>
              <w:t>ICBF</w:t>
            </w:r>
          </w:p>
        </w:tc>
        <w:tc>
          <w:tcPr>
            <w:tcW w:w="1134" w:type="dxa"/>
            <w:hideMark/>
          </w:tcPr>
          <w:p w:rsidR="008149CB" w:rsidRPr="008149CB" w:rsidRDefault="008149CB" w:rsidP="000C297D">
            <w:pPr>
              <w:jc w:val="center"/>
              <w:rPr>
                <w:rFonts w:cstheme="minorHAnsi"/>
                <w:sz w:val="18"/>
                <w:lang w:val="es-CO"/>
              </w:rPr>
            </w:pPr>
            <w:r w:rsidRPr="008149CB">
              <w:rPr>
                <w:rFonts w:cstheme="minorHAnsi"/>
                <w:sz w:val="18"/>
                <w:lang w:val="es-CO"/>
              </w:rPr>
              <w:t>Presencial</w:t>
            </w:r>
          </w:p>
        </w:tc>
        <w:tc>
          <w:tcPr>
            <w:tcW w:w="992" w:type="dxa"/>
            <w:hideMark/>
          </w:tcPr>
          <w:p w:rsidR="008149CB" w:rsidRPr="008149CB" w:rsidRDefault="008149CB" w:rsidP="000C297D">
            <w:pPr>
              <w:jc w:val="center"/>
              <w:rPr>
                <w:rFonts w:cstheme="minorHAnsi"/>
                <w:sz w:val="18"/>
                <w:lang w:val="es-CO"/>
              </w:rPr>
            </w:pPr>
            <w:r w:rsidRPr="008149CB">
              <w:rPr>
                <w:rFonts w:cstheme="minorHAnsi"/>
                <w:sz w:val="18"/>
                <w:lang w:val="es-CO"/>
              </w:rPr>
              <w:t>Bogotá</w:t>
            </w:r>
          </w:p>
        </w:tc>
        <w:tc>
          <w:tcPr>
            <w:tcW w:w="851" w:type="dxa"/>
            <w:hideMark/>
          </w:tcPr>
          <w:p w:rsidR="008149CB" w:rsidRPr="008149CB" w:rsidRDefault="008149CB" w:rsidP="000C297D">
            <w:pPr>
              <w:jc w:val="center"/>
              <w:rPr>
                <w:rFonts w:cstheme="minorHAnsi"/>
                <w:sz w:val="18"/>
                <w:lang w:val="es-CO"/>
              </w:rPr>
            </w:pPr>
            <w:r w:rsidRPr="008149CB">
              <w:rPr>
                <w:rFonts w:cstheme="minorHAnsi"/>
                <w:sz w:val="18"/>
                <w:lang w:val="es-CO"/>
              </w:rPr>
              <w:t>Marzo</w:t>
            </w:r>
          </w:p>
        </w:tc>
        <w:tc>
          <w:tcPr>
            <w:tcW w:w="992" w:type="dxa"/>
            <w:hideMark/>
          </w:tcPr>
          <w:p w:rsidR="008149CB" w:rsidRPr="008149CB" w:rsidRDefault="008149CB" w:rsidP="000C297D">
            <w:pPr>
              <w:jc w:val="center"/>
              <w:rPr>
                <w:rFonts w:cstheme="minorHAnsi"/>
                <w:sz w:val="18"/>
                <w:lang w:val="es-CO"/>
              </w:rPr>
            </w:pPr>
            <w:r w:rsidRPr="008149CB">
              <w:rPr>
                <w:rFonts w:cstheme="minorHAnsi"/>
                <w:sz w:val="18"/>
                <w:lang w:val="es-CO"/>
              </w:rPr>
              <w:t>32</w:t>
            </w:r>
          </w:p>
        </w:tc>
      </w:tr>
      <w:tr w:rsidR="008149CB" w:rsidRPr="008149CB" w:rsidTr="009F178F">
        <w:trPr>
          <w:trHeight w:val="384"/>
          <w:jc w:val="center"/>
        </w:trPr>
        <w:tc>
          <w:tcPr>
            <w:tcW w:w="392" w:type="dxa"/>
            <w:hideMark/>
          </w:tcPr>
          <w:p w:rsidR="008149CB" w:rsidRPr="008149CB" w:rsidRDefault="008149CB" w:rsidP="000C297D">
            <w:pPr>
              <w:jc w:val="both"/>
              <w:rPr>
                <w:rFonts w:cstheme="minorHAnsi"/>
                <w:sz w:val="18"/>
                <w:lang w:val="es-CO"/>
              </w:rPr>
            </w:pPr>
            <w:r w:rsidRPr="008149CB">
              <w:rPr>
                <w:rFonts w:cstheme="minorHAnsi"/>
                <w:sz w:val="18"/>
                <w:lang w:val="es-CO"/>
              </w:rPr>
              <w:t>9</w:t>
            </w:r>
          </w:p>
        </w:tc>
        <w:tc>
          <w:tcPr>
            <w:tcW w:w="3827" w:type="dxa"/>
            <w:hideMark/>
          </w:tcPr>
          <w:p w:rsidR="008149CB" w:rsidRPr="008149CB" w:rsidRDefault="008149CB" w:rsidP="000C297D">
            <w:pPr>
              <w:jc w:val="both"/>
              <w:rPr>
                <w:rFonts w:cstheme="minorHAnsi"/>
                <w:sz w:val="18"/>
                <w:lang w:val="es-CO"/>
              </w:rPr>
            </w:pPr>
            <w:r w:rsidRPr="008149CB">
              <w:rPr>
                <w:rFonts w:cstheme="minorHAnsi"/>
                <w:sz w:val="18"/>
                <w:lang w:val="es-CO"/>
              </w:rPr>
              <w:t xml:space="preserve">Empresa de Acueducto y Alcantarillado de Mosquera </w:t>
            </w:r>
          </w:p>
        </w:tc>
        <w:tc>
          <w:tcPr>
            <w:tcW w:w="1134" w:type="dxa"/>
            <w:hideMark/>
          </w:tcPr>
          <w:p w:rsidR="008149CB" w:rsidRPr="008149CB" w:rsidRDefault="008149CB" w:rsidP="000C297D">
            <w:pPr>
              <w:jc w:val="center"/>
              <w:rPr>
                <w:rFonts w:cstheme="minorHAnsi"/>
                <w:sz w:val="18"/>
                <w:lang w:val="es-CO"/>
              </w:rPr>
            </w:pPr>
            <w:r w:rsidRPr="008149CB">
              <w:rPr>
                <w:rFonts w:cstheme="minorHAnsi"/>
                <w:sz w:val="18"/>
                <w:lang w:val="es-CO"/>
              </w:rPr>
              <w:t>Presencial</w:t>
            </w:r>
          </w:p>
        </w:tc>
        <w:tc>
          <w:tcPr>
            <w:tcW w:w="992" w:type="dxa"/>
            <w:hideMark/>
          </w:tcPr>
          <w:p w:rsidR="008149CB" w:rsidRPr="008149CB" w:rsidRDefault="008149CB" w:rsidP="000C297D">
            <w:pPr>
              <w:jc w:val="center"/>
              <w:rPr>
                <w:rFonts w:cstheme="minorHAnsi"/>
                <w:sz w:val="18"/>
                <w:lang w:val="es-CO"/>
              </w:rPr>
            </w:pPr>
            <w:r w:rsidRPr="008149CB">
              <w:rPr>
                <w:rFonts w:cstheme="minorHAnsi"/>
                <w:sz w:val="18"/>
                <w:lang w:val="es-CO"/>
              </w:rPr>
              <w:t>Mosquera</w:t>
            </w:r>
          </w:p>
        </w:tc>
        <w:tc>
          <w:tcPr>
            <w:tcW w:w="851" w:type="dxa"/>
            <w:hideMark/>
          </w:tcPr>
          <w:p w:rsidR="008149CB" w:rsidRPr="008149CB" w:rsidRDefault="008149CB" w:rsidP="000C297D">
            <w:pPr>
              <w:jc w:val="center"/>
              <w:rPr>
                <w:rFonts w:cstheme="minorHAnsi"/>
                <w:sz w:val="18"/>
                <w:lang w:val="es-CO"/>
              </w:rPr>
            </w:pPr>
            <w:r w:rsidRPr="008149CB">
              <w:rPr>
                <w:rFonts w:cstheme="minorHAnsi"/>
                <w:sz w:val="18"/>
                <w:lang w:val="es-CO"/>
              </w:rPr>
              <w:t>Marzo</w:t>
            </w:r>
          </w:p>
        </w:tc>
        <w:tc>
          <w:tcPr>
            <w:tcW w:w="992" w:type="dxa"/>
            <w:hideMark/>
          </w:tcPr>
          <w:p w:rsidR="008149CB" w:rsidRPr="008149CB" w:rsidRDefault="008149CB" w:rsidP="000C297D">
            <w:pPr>
              <w:jc w:val="center"/>
              <w:rPr>
                <w:rFonts w:cstheme="minorHAnsi"/>
                <w:sz w:val="18"/>
                <w:lang w:val="es-CO"/>
              </w:rPr>
            </w:pPr>
            <w:r w:rsidRPr="008149CB">
              <w:rPr>
                <w:rFonts w:cstheme="minorHAnsi"/>
                <w:sz w:val="18"/>
                <w:lang w:val="es-CO"/>
              </w:rPr>
              <w:t>21</w:t>
            </w:r>
          </w:p>
        </w:tc>
      </w:tr>
      <w:tr w:rsidR="008149CB" w:rsidRPr="008149CB" w:rsidTr="009F178F">
        <w:trPr>
          <w:trHeight w:val="300"/>
          <w:jc w:val="center"/>
        </w:trPr>
        <w:tc>
          <w:tcPr>
            <w:tcW w:w="392" w:type="dxa"/>
            <w:hideMark/>
          </w:tcPr>
          <w:p w:rsidR="008149CB" w:rsidRPr="008149CB" w:rsidRDefault="008149CB" w:rsidP="000C297D">
            <w:pPr>
              <w:jc w:val="both"/>
              <w:rPr>
                <w:rFonts w:cstheme="minorHAnsi"/>
                <w:sz w:val="18"/>
                <w:lang w:val="es-CO"/>
              </w:rPr>
            </w:pPr>
            <w:r w:rsidRPr="008149CB">
              <w:rPr>
                <w:rFonts w:cstheme="minorHAnsi"/>
                <w:sz w:val="18"/>
                <w:lang w:val="es-CO"/>
              </w:rPr>
              <w:t>10</w:t>
            </w:r>
          </w:p>
        </w:tc>
        <w:tc>
          <w:tcPr>
            <w:tcW w:w="3827" w:type="dxa"/>
            <w:hideMark/>
          </w:tcPr>
          <w:p w:rsidR="008149CB" w:rsidRPr="008149CB" w:rsidRDefault="008149CB" w:rsidP="000C297D">
            <w:pPr>
              <w:jc w:val="both"/>
              <w:rPr>
                <w:rFonts w:cstheme="minorHAnsi"/>
                <w:sz w:val="18"/>
                <w:lang w:val="es-CO"/>
              </w:rPr>
            </w:pPr>
            <w:r w:rsidRPr="008149CB">
              <w:rPr>
                <w:rFonts w:cstheme="minorHAnsi"/>
                <w:sz w:val="18"/>
                <w:lang w:val="es-CO"/>
              </w:rPr>
              <w:t xml:space="preserve">Ejército Nacional </w:t>
            </w:r>
          </w:p>
        </w:tc>
        <w:tc>
          <w:tcPr>
            <w:tcW w:w="1134" w:type="dxa"/>
            <w:hideMark/>
          </w:tcPr>
          <w:p w:rsidR="008149CB" w:rsidRPr="008149CB" w:rsidRDefault="008149CB" w:rsidP="000C297D">
            <w:pPr>
              <w:jc w:val="center"/>
              <w:rPr>
                <w:rFonts w:cstheme="minorHAnsi"/>
                <w:sz w:val="18"/>
                <w:lang w:val="es-CO"/>
              </w:rPr>
            </w:pPr>
            <w:r w:rsidRPr="008149CB">
              <w:rPr>
                <w:rFonts w:cstheme="minorHAnsi"/>
                <w:sz w:val="18"/>
                <w:lang w:val="es-CO"/>
              </w:rPr>
              <w:t>Presencial</w:t>
            </w:r>
          </w:p>
        </w:tc>
        <w:tc>
          <w:tcPr>
            <w:tcW w:w="992" w:type="dxa"/>
            <w:hideMark/>
          </w:tcPr>
          <w:p w:rsidR="008149CB" w:rsidRPr="008149CB" w:rsidRDefault="008149CB" w:rsidP="000C297D">
            <w:pPr>
              <w:jc w:val="center"/>
              <w:rPr>
                <w:rFonts w:cstheme="minorHAnsi"/>
                <w:sz w:val="18"/>
                <w:lang w:val="es-CO"/>
              </w:rPr>
            </w:pPr>
            <w:r w:rsidRPr="008149CB">
              <w:rPr>
                <w:rFonts w:cstheme="minorHAnsi"/>
                <w:sz w:val="18"/>
                <w:lang w:val="es-CO"/>
              </w:rPr>
              <w:t>Bogotá</w:t>
            </w:r>
          </w:p>
        </w:tc>
        <w:tc>
          <w:tcPr>
            <w:tcW w:w="851" w:type="dxa"/>
            <w:hideMark/>
          </w:tcPr>
          <w:p w:rsidR="008149CB" w:rsidRPr="008149CB" w:rsidRDefault="008149CB" w:rsidP="000C297D">
            <w:pPr>
              <w:jc w:val="center"/>
              <w:rPr>
                <w:rFonts w:cstheme="minorHAnsi"/>
                <w:sz w:val="18"/>
                <w:lang w:val="es-CO"/>
              </w:rPr>
            </w:pPr>
            <w:r w:rsidRPr="008149CB">
              <w:rPr>
                <w:rFonts w:cstheme="minorHAnsi"/>
                <w:sz w:val="18"/>
                <w:lang w:val="es-CO"/>
              </w:rPr>
              <w:t>Marzo</w:t>
            </w:r>
          </w:p>
        </w:tc>
        <w:tc>
          <w:tcPr>
            <w:tcW w:w="992" w:type="dxa"/>
            <w:hideMark/>
          </w:tcPr>
          <w:p w:rsidR="008149CB" w:rsidRPr="008149CB" w:rsidRDefault="008149CB" w:rsidP="000C297D">
            <w:pPr>
              <w:jc w:val="center"/>
              <w:rPr>
                <w:rFonts w:cstheme="minorHAnsi"/>
                <w:sz w:val="18"/>
                <w:lang w:val="es-CO"/>
              </w:rPr>
            </w:pPr>
            <w:r w:rsidRPr="008149CB">
              <w:rPr>
                <w:rFonts w:cstheme="minorHAnsi"/>
                <w:sz w:val="18"/>
                <w:lang w:val="es-CO"/>
              </w:rPr>
              <w:t>30</w:t>
            </w:r>
          </w:p>
        </w:tc>
      </w:tr>
      <w:tr w:rsidR="008149CB" w:rsidRPr="008149CB" w:rsidTr="009F178F">
        <w:trPr>
          <w:trHeight w:val="300"/>
          <w:jc w:val="center"/>
        </w:trPr>
        <w:tc>
          <w:tcPr>
            <w:tcW w:w="392" w:type="dxa"/>
            <w:hideMark/>
          </w:tcPr>
          <w:p w:rsidR="008149CB" w:rsidRPr="008149CB" w:rsidRDefault="008149CB" w:rsidP="000C297D">
            <w:pPr>
              <w:jc w:val="both"/>
              <w:rPr>
                <w:rFonts w:cstheme="minorHAnsi"/>
                <w:sz w:val="18"/>
                <w:lang w:val="es-CO"/>
              </w:rPr>
            </w:pPr>
            <w:r w:rsidRPr="008149CB">
              <w:rPr>
                <w:rFonts w:cstheme="minorHAnsi"/>
                <w:sz w:val="18"/>
                <w:lang w:val="es-CO"/>
              </w:rPr>
              <w:t>11</w:t>
            </w:r>
          </w:p>
        </w:tc>
        <w:tc>
          <w:tcPr>
            <w:tcW w:w="3827" w:type="dxa"/>
            <w:hideMark/>
          </w:tcPr>
          <w:p w:rsidR="008149CB" w:rsidRPr="008149CB" w:rsidRDefault="008149CB" w:rsidP="000C297D">
            <w:pPr>
              <w:jc w:val="both"/>
              <w:rPr>
                <w:rFonts w:cstheme="minorHAnsi"/>
                <w:sz w:val="18"/>
                <w:lang w:val="es-CO"/>
              </w:rPr>
            </w:pPr>
            <w:r w:rsidRPr="008149CB">
              <w:rPr>
                <w:rFonts w:cstheme="minorHAnsi"/>
                <w:sz w:val="18"/>
                <w:lang w:val="es-CO"/>
              </w:rPr>
              <w:t xml:space="preserve">Ejército Nacional </w:t>
            </w:r>
          </w:p>
        </w:tc>
        <w:tc>
          <w:tcPr>
            <w:tcW w:w="1134" w:type="dxa"/>
            <w:hideMark/>
          </w:tcPr>
          <w:p w:rsidR="008149CB" w:rsidRPr="008149CB" w:rsidRDefault="008149CB" w:rsidP="000C297D">
            <w:pPr>
              <w:jc w:val="center"/>
              <w:rPr>
                <w:rFonts w:cstheme="minorHAnsi"/>
                <w:sz w:val="18"/>
                <w:lang w:val="es-CO"/>
              </w:rPr>
            </w:pPr>
            <w:r w:rsidRPr="008149CB">
              <w:rPr>
                <w:rFonts w:cstheme="minorHAnsi"/>
                <w:sz w:val="18"/>
                <w:lang w:val="es-CO"/>
              </w:rPr>
              <w:t>Presencial</w:t>
            </w:r>
          </w:p>
        </w:tc>
        <w:tc>
          <w:tcPr>
            <w:tcW w:w="992" w:type="dxa"/>
            <w:hideMark/>
          </w:tcPr>
          <w:p w:rsidR="008149CB" w:rsidRPr="008149CB" w:rsidRDefault="008149CB" w:rsidP="000C297D">
            <w:pPr>
              <w:jc w:val="center"/>
              <w:rPr>
                <w:rFonts w:cstheme="minorHAnsi"/>
                <w:sz w:val="18"/>
                <w:lang w:val="es-CO"/>
              </w:rPr>
            </w:pPr>
            <w:r w:rsidRPr="008149CB">
              <w:rPr>
                <w:rFonts w:cstheme="minorHAnsi"/>
                <w:sz w:val="18"/>
                <w:lang w:val="es-CO"/>
              </w:rPr>
              <w:t>Bogotá</w:t>
            </w:r>
          </w:p>
        </w:tc>
        <w:tc>
          <w:tcPr>
            <w:tcW w:w="851" w:type="dxa"/>
            <w:hideMark/>
          </w:tcPr>
          <w:p w:rsidR="008149CB" w:rsidRPr="008149CB" w:rsidRDefault="008149CB" w:rsidP="000C297D">
            <w:pPr>
              <w:jc w:val="center"/>
              <w:rPr>
                <w:rFonts w:cstheme="minorHAnsi"/>
                <w:sz w:val="18"/>
                <w:lang w:val="es-CO"/>
              </w:rPr>
            </w:pPr>
            <w:r w:rsidRPr="008149CB">
              <w:rPr>
                <w:rFonts w:cstheme="minorHAnsi"/>
                <w:sz w:val="18"/>
                <w:lang w:val="es-CO"/>
              </w:rPr>
              <w:t>Marzo</w:t>
            </w:r>
          </w:p>
        </w:tc>
        <w:tc>
          <w:tcPr>
            <w:tcW w:w="992" w:type="dxa"/>
            <w:hideMark/>
          </w:tcPr>
          <w:p w:rsidR="008149CB" w:rsidRPr="008149CB" w:rsidRDefault="008149CB" w:rsidP="000C297D">
            <w:pPr>
              <w:jc w:val="center"/>
              <w:rPr>
                <w:rFonts w:cstheme="minorHAnsi"/>
                <w:sz w:val="18"/>
                <w:lang w:val="es-CO"/>
              </w:rPr>
            </w:pPr>
            <w:r w:rsidRPr="008149CB">
              <w:rPr>
                <w:rFonts w:cstheme="minorHAnsi"/>
                <w:sz w:val="18"/>
                <w:lang w:val="es-CO"/>
              </w:rPr>
              <w:t>35</w:t>
            </w:r>
          </w:p>
        </w:tc>
      </w:tr>
      <w:tr w:rsidR="008149CB" w:rsidRPr="008149CB" w:rsidTr="009F178F">
        <w:trPr>
          <w:trHeight w:val="421"/>
          <w:jc w:val="center"/>
        </w:trPr>
        <w:tc>
          <w:tcPr>
            <w:tcW w:w="392" w:type="dxa"/>
            <w:hideMark/>
          </w:tcPr>
          <w:p w:rsidR="008149CB" w:rsidRPr="008149CB" w:rsidRDefault="008149CB" w:rsidP="000C297D">
            <w:pPr>
              <w:jc w:val="both"/>
              <w:rPr>
                <w:rFonts w:cstheme="minorHAnsi"/>
                <w:sz w:val="18"/>
                <w:lang w:val="es-CO"/>
              </w:rPr>
            </w:pPr>
            <w:r w:rsidRPr="008149CB">
              <w:rPr>
                <w:rFonts w:cstheme="minorHAnsi"/>
                <w:sz w:val="18"/>
                <w:lang w:val="es-CO"/>
              </w:rPr>
              <w:t>12</w:t>
            </w:r>
          </w:p>
        </w:tc>
        <w:tc>
          <w:tcPr>
            <w:tcW w:w="3827" w:type="dxa"/>
            <w:hideMark/>
          </w:tcPr>
          <w:p w:rsidR="008149CB" w:rsidRPr="008149CB" w:rsidRDefault="008149CB" w:rsidP="000C297D">
            <w:pPr>
              <w:jc w:val="both"/>
              <w:rPr>
                <w:rFonts w:cstheme="minorHAnsi"/>
                <w:sz w:val="18"/>
                <w:lang w:val="es-CO"/>
              </w:rPr>
            </w:pPr>
            <w:r w:rsidRPr="008149CB">
              <w:rPr>
                <w:rFonts w:cstheme="minorHAnsi"/>
                <w:sz w:val="18"/>
                <w:lang w:val="es-CO"/>
              </w:rPr>
              <w:t xml:space="preserve">Unidad Administrativa Especial del Servicio Público del Empleo </w:t>
            </w:r>
          </w:p>
        </w:tc>
        <w:tc>
          <w:tcPr>
            <w:tcW w:w="1134" w:type="dxa"/>
            <w:hideMark/>
          </w:tcPr>
          <w:p w:rsidR="008149CB" w:rsidRPr="008149CB" w:rsidRDefault="008149CB" w:rsidP="000C297D">
            <w:pPr>
              <w:jc w:val="center"/>
              <w:rPr>
                <w:rFonts w:cstheme="minorHAnsi"/>
                <w:sz w:val="18"/>
                <w:lang w:val="es-CO"/>
              </w:rPr>
            </w:pPr>
            <w:r w:rsidRPr="008149CB">
              <w:rPr>
                <w:rFonts w:cstheme="minorHAnsi"/>
                <w:sz w:val="18"/>
                <w:lang w:val="es-CO"/>
              </w:rPr>
              <w:t>Presencial</w:t>
            </w:r>
          </w:p>
        </w:tc>
        <w:tc>
          <w:tcPr>
            <w:tcW w:w="992" w:type="dxa"/>
            <w:hideMark/>
          </w:tcPr>
          <w:p w:rsidR="008149CB" w:rsidRPr="008149CB" w:rsidRDefault="008149CB" w:rsidP="000C297D">
            <w:pPr>
              <w:jc w:val="center"/>
              <w:rPr>
                <w:rFonts w:cstheme="minorHAnsi"/>
                <w:sz w:val="18"/>
                <w:lang w:val="es-CO"/>
              </w:rPr>
            </w:pPr>
            <w:r w:rsidRPr="008149CB">
              <w:rPr>
                <w:rFonts w:cstheme="minorHAnsi"/>
                <w:sz w:val="18"/>
                <w:lang w:val="es-CO"/>
              </w:rPr>
              <w:t>Bogotá</w:t>
            </w:r>
          </w:p>
        </w:tc>
        <w:tc>
          <w:tcPr>
            <w:tcW w:w="851" w:type="dxa"/>
            <w:hideMark/>
          </w:tcPr>
          <w:p w:rsidR="008149CB" w:rsidRPr="008149CB" w:rsidRDefault="008149CB" w:rsidP="000C297D">
            <w:pPr>
              <w:jc w:val="center"/>
              <w:rPr>
                <w:rFonts w:cstheme="minorHAnsi"/>
                <w:sz w:val="18"/>
                <w:lang w:val="es-CO"/>
              </w:rPr>
            </w:pPr>
            <w:r w:rsidRPr="008149CB">
              <w:rPr>
                <w:rFonts w:cstheme="minorHAnsi"/>
                <w:sz w:val="18"/>
                <w:lang w:val="es-CO"/>
              </w:rPr>
              <w:t>Abril</w:t>
            </w:r>
          </w:p>
        </w:tc>
        <w:tc>
          <w:tcPr>
            <w:tcW w:w="992" w:type="dxa"/>
            <w:hideMark/>
          </w:tcPr>
          <w:p w:rsidR="008149CB" w:rsidRPr="008149CB" w:rsidRDefault="008149CB" w:rsidP="000C297D">
            <w:pPr>
              <w:jc w:val="center"/>
              <w:rPr>
                <w:rFonts w:cstheme="minorHAnsi"/>
                <w:sz w:val="18"/>
                <w:lang w:val="es-CO"/>
              </w:rPr>
            </w:pPr>
            <w:r w:rsidRPr="008149CB">
              <w:rPr>
                <w:rFonts w:cstheme="minorHAnsi"/>
                <w:sz w:val="18"/>
                <w:lang w:val="es-CO"/>
              </w:rPr>
              <w:t>18</w:t>
            </w:r>
          </w:p>
        </w:tc>
      </w:tr>
      <w:tr w:rsidR="008149CB" w:rsidRPr="008149CB" w:rsidTr="009F178F">
        <w:trPr>
          <w:trHeight w:val="529"/>
          <w:jc w:val="center"/>
        </w:trPr>
        <w:tc>
          <w:tcPr>
            <w:tcW w:w="392" w:type="dxa"/>
            <w:hideMark/>
          </w:tcPr>
          <w:p w:rsidR="008149CB" w:rsidRPr="008149CB" w:rsidRDefault="008149CB" w:rsidP="000C297D">
            <w:pPr>
              <w:jc w:val="both"/>
              <w:rPr>
                <w:rFonts w:cstheme="minorHAnsi"/>
                <w:sz w:val="18"/>
                <w:lang w:val="es-CO"/>
              </w:rPr>
            </w:pPr>
            <w:r w:rsidRPr="008149CB">
              <w:rPr>
                <w:rFonts w:cstheme="minorHAnsi"/>
                <w:sz w:val="18"/>
                <w:lang w:val="es-CO"/>
              </w:rPr>
              <w:t>13</w:t>
            </w:r>
          </w:p>
        </w:tc>
        <w:tc>
          <w:tcPr>
            <w:tcW w:w="3827" w:type="dxa"/>
            <w:hideMark/>
          </w:tcPr>
          <w:p w:rsidR="008149CB" w:rsidRPr="008149CB" w:rsidRDefault="008149CB" w:rsidP="000C297D">
            <w:pPr>
              <w:jc w:val="both"/>
              <w:rPr>
                <w:rFonts w:cstheme="minorHAnsi"/>
                <w:sz w:val="18"/>
                <w:lang w:val="es-CO"/>
              </w:rPr>
            </w:pPr>
            <w:r w:rsidRPr="008149CB">
              <w:rPr>
                <w:rFonts w:cstheme="minorHAnsi"/>
                <w:sz w:val="18"/>
                <w:lang w:val="es-CO"/>
              </w:rPr>
              <w:t>Unidad Administrativa Especial del Servicio Público del Empleo</w:t>
            </w:r>
          </w:p>
        </w:tc>
        <w:tc>
          <w:tcPr>
            <w:tcW w:w="1134" w:type="dxa"/>
            <w:hideMark/>
          </w:tcPr>
          <w:p w:rsidR="008149CB" w:rsidRPr="008149CB" w:rsidRDefault="008149CB" w:rsidP="000C297D">
            <w:pPr>
              <w:jc w:val="center"/>
              <w:rPr>
                <w:rFonts w:cstheme="minorHAnsi"/>
                <w:sz w:val="18"/>
                <w:lang w:val="es-CO"/>
              </w:rPr>
            </w:pPr>
            <w:r w:rsidRPr="008149CB">
              <w:rPr>
                <w:rFonts w:cstheme="minorHAnsi"/>
                <w:sz w:val="18"/>
                <w:lang w:val="es-CO"/>
              </w:rPr>
              <w:t>Presencial</w:t>
            </w:r>
          </w:p>
        </w:tc>
        <w:tc>
          <w:tcPr>
            <w:tcW w:w="992" w:type="dxa"/>
            <w:hideMark/>
          </w:tcPr>
          <w:p w:rsidR="008149CB" w:rsidRPr="008149CB" w:rsidRDefault="008149CB" w:rsidP="000C297D">
            <w:pPr>
              <w:jc w:val="center"/>
              <w:rPr>
                <w:rFonts w:cstheme="minorHAnsi"/>
                <w:sz w:val="18"/>
                <w:lang w:val="es-CO"/>
              </w:rPr>
            </w:pPr>
            <w:r w:rsidRPr="008149CB">
              <w:rPr>
                <w:rFonts w:cstheme="minorHAnsi"/>
                <w:sz w:val="18"/>
                <w:lang w:val="es-CO"/>
              </w:rPr>
              <w:t>Bogotá</w:t>
            </w:r>
          </w:p>
        </w:tc>
        <w:tc>
          <w:tcPr>
            <w:tcW w:w="851" w:type="dxa"/>
            <w:hideMark/>
          </w:tcPr>
          <w:p w:rsidR="008149CB" w:rsidRPr="008149CB" w:rsidRDefault="008149CB" w:rsidP="000C297D">
            <w:pPr>
              <w:jc w:val="center"/>
              <w:rPr>
                <w:rFonts w:cstheme="minorHAnsi"/>
                <w:sz w:val="18"/>
                <w:lang w:val="es-CO"/>
              </w:rPr>
            </w:pPr>
            <w:r w:rsidRPr="008149CB">
              <w:rPr>
                <w:rFonts w:cstheme="minorHAnsi"/>
                <w:sz w:val="18"/>
                <w:lang w:val="es-CO"/>
              </w:rPr>
              <w:t>Abril</w:t>
            </w:r>
          </w:p>
        </w:tc>
        <w:tc>
          <w:tcPr>
            <w:tcW w:w="992" w:type="dxa"/>
            <w:hideMark/>
          </w:tcPr>
          <w:p w:rsidR="008149CB" w:rsidRPr="008149CB" w:rsidRDefault="008149CB" w:rsidP="000C297D">
            <w:pPr>
              <w:jc w:val="center"/>
              <w:rPr>
                <w:rFonts w:cstheme="minorHAnsi"/>
                <w:sz w:val="18"/>
                <w:lang w:val="es-CO"/>
              </w:rPr>
            </w:pPr>
            <w:r w:rsidRPr="008149CB">
              <w:rPr>
                <w:rFonts w:cstheme="minorHAnsi"/>
                <w:sz w:val="18"/>
                <w:lang w:val="es-CO"/>
              </w:rPr>
              <w:t>17</w:t>
            </w:r>
          </w:p>
        </w:tc>
      </w:tr>
      <w:tr w:rsidR="008149CB" w:rsidRPr="008149CB" w:rsidTr="009F178F">
        <w:trPr>
          <w:trHeight w:val="198"/>
          <w:jc w:val="center"/>
        </w:trPr>
        <w:tc>
          <w:tcPr>
            <w:tcW w:w="392" w:type="dxa"/>
            <w:hideMark/>
          </w:tcPr>
          <w:p w:rsidR="008149CB" w:rsidRPr="008149CB" w:rsidRDefault="008149CB" w:rsidP="000C297D">
            <w:pPr>
              <w:jc w:val="both"/>
              <w:rPr>
                <w:rFonts w:cstheme="minorHAnsi"/>
                <w:sz w:val="18"/>
                <w:lang w:val="es-CO"/>
              </w:rPr>
            </w:pPr>
            <w:r w:rsidRPr="008149CB">
              <w:rPr>
                <w:rFonts w:cstheme="minorHAnsi"/>
                <w:sz w:val="18"/>
                <w:lang w:val="es-CO"/>
              </w:rPr>
              <w:t>14</w:t>
            </w:r>
          </w:p>
        </w:tc>
        <w:tc>
          <w:tcPr>
            <w:tcW w:w="3827" w:type="dxa"/>
            <w:hideMark/>
          </w:tcPr>
          <w:p w:rsidR="008149CB" w:rsidRPr="008149CB" w:rsidRDefault="008149CB" w:rsidP="000C297D">
            <w:pPr>
              <w:jc w:val="both"/>
              <w:rPr>
                <w:rFonts w:cstheme="minorHAnsi"/>
                <w:sz w:val="18"/>
                <w:lang w:val="es-CO"/>
              </w:rPr>
            </w:pPr>
            <w:r w:rsidRPr="008149CB">
              <w:rPr>
                <w:rFonts w:cstheme="minorHAnsi"/>
                <w:sz w:val="18"/>
                <w:lang w:val="es-CO"/>
              </w:rPr>
              <w:t xml:space="preserve">Dirección Nacional de Derechos de Autor </w:t>
            </w:r>
          </w:p>
        </w:tc>
        <w:tc>
          <w:tcPr>
            <w:tcW w:w="1134" w:type="dxa"/>
            <w:hideMark/>
          </w:tcPr>
          <w:p w:rsidR="008149CB" w:rsidRPr="008149CB" w:rsidRDefault="008149CB" w:rsidP="000C297D">
            <w:pPr>
              <w:jc w:val="center"/>
              <w:rPr>
                <w:rFonts w:cstheme="minorHAnsi"/>
                <w:sz w:val="18"/>
                <w:lang w:val="es-CO"/>
              </w:rPr>
            </w:pPr>
            <w:r w:rsidRPr="008149CB">
              <w:rPr>
                <w:rFonts w:cstheme="minorHAnsi"/>
                <w:sz w:val="18"/>
                <w:lang w:val="es-CO"/>
              </w:rPr>
              <w:t>Presencial</w:t>
            </w:r>
          </w:p>
        </w:tc>
        <w:tc>
          <w:tcPr>
            <w:tcW w:w="992" w:type="dxa"/>
            <w:hideMark/>
          </w:tcPr>
          <w:p w:rsidR="008149CB" w:rsidRPr="008149CB" w:rsidRDefault="008149CB" w:rsidP="000C297D">
            <w:pPr>
              <w:jc w:val="center"/>
              <w:rPr>
                <w:rFonts w:cstheme="minorHAnsi"/>
                <w:sz w:val="18"/>
                <w:lang w:val="es-CO"/>
              </w:rPr>
            </w:pPr>
            <w:r w:rsidRPr="008149CB">
              <w:rPr>
                <w:rFonts w:cstheme="minorHAnsi"/>
                <w:sz w:val="18"/>
                <w:lang w:val="es-CO"/>
              </w:rPr>
              <w:t>Bogotá</w:t>
            </w:r>
          </w:p>
        </w:tc>
        <w:tc>
          <w:tcPr>
            <w:tcW w:w="851" w:type="dxa"/>
            <w:hideMark/>
          </w:tcPr>
          <w:p w:rsidR="008149CB" w:rsidRPr="008149CB" w:rsidRDefault="008149CB" w:rsidP="000C297D">
            <w:pPr>
              <w:jc w:val="center"/>
              <w:rPr>
                <w:rFonts w:cstheme="minorHAnsi"/>
                <w:sz w:val="18"/>
                <w:lang w:val="es-CO"/>
              </w:rPr>
            </w:pPr>
            <w:r w:rsidRPr="008149CB">
              <w:rPr>
                <w:rFonts w:cstheme="minorHAnsi"/>
                <w:sz w:val="18"/>
                <w:lang w:val="es-CO"/>
              </w:rPr>
              <w:t>Abril</w:t>
            </w:r>
          </w:p>
        </w:tc>
        <w:tc>
          <w:tcPr>
            <w:tcW w:w="992" w:type="dxa"/>
            <w:hideMark/>
          </w:tcPr>
          <w:p w:rsidR="008149CB" w:rsidRPr="008149CB" w:rsidRDefault="008149CB" w:rsidP="000C297D">
            <w:pPr>
              <w:jc w:val="center"/>
              <w:rPr>
                <w:rFonts w:cstheme="minorHAnsi"/>
                <w:sz w:val="18"/>
                <w:lang w:val="es-CO"/>
              </w:rPr>
            </w:pPr>
            <w:r w:rsidRPr="008149CB">
              <w:rPr>
                <w:rFonts w:cstheme="minorHAnsi"/>
                <w:sz w:val="18"/>
                <w:lang w:val="es-CO"/>
              </w:rPr>
              <w:t>25</w:t>
            </w:r>
          </w:p>
        </w:tc>
      </w:tr>
      <w:tr w:rsidR="008149CB" w:rsidRPr="008149CB" w:rsidTr="009F178F">
        <w:trPr>
          <w:trHeight w:val="292"/>
          <w:jc w:val="center"/>
        </w:trPr>
        <w:tc>
          <w:tcPr>
            <w:tcW w:w="392" w:type="dxa"/>
            <w:hideMark/>
          </w:tcPr>
          <w:p w:rsidR="008149CB" w:rsidRPr="008149CB" w:rsidRDefault="008149CB" w:rsidP="000C297D">
            <w:pPr>
              <w:jc w:val="both"/>
              <w:rPr>
                <w:rFonts w:cstheme="minorHAnsi"/>
                <w:sz w:val="18"/>
                <w:lang w:val="es-CO"/>
              </w:rPr>
            </w:pPr>
            <w:r w:rsidRPr="008149CB">
              <w:rPr>
                <w:rFonts w:cstheme="minorHAnsi"/>
                <w:sz w:val="18"/>
                <w:lang w:val="es-CO"/>
              </w:rPr>
              <w:t>15</w:t>
            </w:r>
          </w:p>
        </w:tc>
        <w:tc>
          <w:tcPr>
            <w:tcW w:w="3827" w:type="dxa"/>
            <w:hideMark/>
          </w:tcPr>
          <w:p w:rsidR="008149CB" w:rsidRPr="008149CB" w:rsidRDefault="008149CB" w:rsidP="000C297D">
            <w:pPr>
              <w:jc w:val="both"/>
              <w:rPr>
                <w:rFonts w:cstheme="minorHAnsi"/>
                <w:sz w:val="18"/>
                <w:lang w:val="es-CO"/>
              </w:rPr>
            </w:pPr>
            <w:r w:rsidRPr="008149CB">
              <w:rPr>
                <w:rFonts w:cstheme="minorHAnsi"/>
                <w:sz w:val="18"/>
                <w:lang w:val="es-CO"/>
              </w:rPr>
              <w:t>Dirección Nacional de Derechos de Autor</w:t>
            </w:r>
          </w:p>
        </w:tc>
        <w:tc>
          <w:tcPr>
            <w:tcW w:w="1134" w:type="dxa"/>
            <w:hideMark/>
          </w:tcPr>
          <w:p w:rsidR="008149CB" w:rsidRPr="008149CB" w:rsidRDefault="008149CB" w:rsidP="000C297D">
            <w:pPr>
              <w:jc w:val="center"/>
              <w:rPr>
                <w:rFonts w:cstheme="minorHAnsi"/>
                <w:sz w:val="18"/>
                <w:lang w:val="es-CO"/>
              </w:rPr>
            </w:pPr>
            <w:r w:rsidRPr="008149CB">
              <w:rPr>
                <w:rFonts w:cstheme="minorHAnsi"/>
                <w:sz w:val="18"/>
                <w:lang w:val="es-CO"/>
              </w:rPr>
              <w:t>Presencial</w:t>
            </w:r>
          </w:p>
        </w:tc>
        <w:tc>
          <w:tcPr>
            <w:tcW w:w="992" w:type="dxa"/>
            <w:hideMark/>
          </w:tcPr>
          <w:p w:rsidR="008149CB" w:rsidRPr="008149CB" w:rsidRDefault="008149CB" w:rsidP="000C297D">
            <w:pPr>
              <w:jc w:val="center"/>
              <w:rPr>
                <w:rFonts w:cstheme="minorHAnsi"/>
                <w:sz w:val="18"/>
                <w:lang w:val="es-CO"/>
              </w:rPr>
            </w:pPr>
            <w:r w:rsidRPr="008149CB">
              <w:rPr>
                <w:rFonts w:cstheme="minorHAnsi"/>
                <w:sz w:val="18"/>
                <w:lang w:val="es-CO"/>
              </w:rPr>
              <w:t>Bogotá</w:t>
            </w:r>
          </w:p>
        </w:tc>
        <w:tc>
          <w:tcPr>
            <w:tcW w:w="851" w:type="dxa"/>
            <w:hideMark/>
          </w:tcPr>
          <w:p w:rsidR="008149CB" w:rsidRPr="008149CB" w:rsidRDefault="008149CB" w:rsidP="000C297D">
            <w:pPr>
              <w:jc w:val="center"/>
              <w:rPr>
                <w:rFonts w:cstheme="minorHAnsi"/>
                <w:sz w:val="18"/>
                <w:lang w:val="es-CO"/>
              </w:rPr>
            </w:pPr>
            <w:r w:rsidRPr="008149CB">
              <w:rPr>
                <w:rFonts w:cstheme="minorHAnsi"/>
                <w:sz w:val="18"/>
                <w:lang w:val="es-CO"/>
              </w:rPr>
              <w:t>Abril</w:t>
            </w:r>
          </w:p>
        </w:tc>
        <w:tc>
          <w:tcPr>
            <w:tcW w:w="992" w:type="dxa"/>
            <w:hideMark/>
          </w:tcPr>
          <w:p w:rsidR="008149CB" w:rsidRPr="008149CB" w:rsidRDefault="008149CB" w:rsidP="000C297D">
            <w:pPr>
              <w:jc w:val="center"/>
              <w:rPr>
                <w:rFonts w:cstheme="minorHAnsi"/>
                <w:sz w:val="18"/>
                <w:lang w:val="es-CO"/>
              </w:rPr>
            </w:pPr>
            <w:r w:rsidRPr="008149CB">
              <w:rPr>
                <w:rFonts w:cstheme="minorHAnsi"/>
                <w:sz w:val="18"/>
                <w:lang w:val="es-CO"/>
              </w:rPr>
              <w:t>26</w:t>
            </w:r>
          </w:p>
        </w:tc>
      </w:tr>
      <w:tr w:rsidR="008149CB" w:rsidRPr="008149CB" w:rsidTr="009F178F">
        <w:trPr>
          <w:trHeight w:val="300"/>
          <w:jc w:val="center"/>
        </w:trPr>
        <w:tc>
          <w:tcPr>
            <w:tcW w:w="392" w:type="dxa"/>
            <w:hideMark/>
          </w:tcPr>
          <w:p w:rsidR="008149CB" w:rsidRPr="008149CB" w:rsidRDefault="008149CB" w:rsidP="000C297D">
            <w:pPr>
              <w:jc w:val="both"/>
              <w:rPr>
                <w:rFonts w:cstheme="minorHAnsi"/>
                <w:sz w:val="18"/>
                <w:lang w:val="es-CO"/>
              </w:rPr>
            </w:pPr>
            <w:r w:rsidRPr="008149CB">
              <w:rPr>
                <w:rFonts w:cstheme="minorHAnsi"/>
                <w:sz w:val="18"/>
                <w:lang w:val="es-CO"/>
              </w:rPr>
              <w:t>16</w:t>
            </w:r>
          </w:p>
        </w:tc>
        <w:tc>
          <w:tcPr>
            <w:tcW w:w="3827" w:type="dxa"/>
            <w:hideMark/>
          </w:tcPr>
          <w:p w:rsidR="008149CB" w:rsidRPr="008149CB" w:rsidRDefault="008149CB" w:rsidP="000C297D">
            <w:pPr>
              <w:jc w:val="both"/>
              <w:rPr>
                <w:rFonts w:cstheme="minorHAnsi"/>
                <w:sz w:val="18"/>
                <w:lang w:val="es-CO"/>
              </w:rPr>
            </w:pPr>
            <w:r w:rsidRPr="008149CB">
              <w:rPr>
                <w:rFonts w:cstheme="minorHAnsi"/>
                <w:sz w:val="18"/>
                <w:lang w:val="es-CO"/>
              </w:rPr>
              <w:t xml:space="preserve">Ejército Nacional </w:t>
            </w:r>
          </w:p>
        </w:tc>
        <w:tc>
          <w:tcPr>
            <w:tcW w:w="1134" w:type="dxa"/>
            <w:hideMark/>
          </w:tcPr>
          <w:p w:rsidR="008149CB" w:rsidRPr="008149CB" w:rsidRDefault="008149CB" w:rsidP="000C297D">
            <w:pPr>
              <w:jc w:val="center"/>
              <w:rPr>
                <w:rFonts w:cstheme="minorHAnsi"/>
                <w:sz w:val="18"/>
                <w:lang w:val="es-CO"/>
              </w:rPr>
            </w:pPr>
            <w:r w:rsidRPr="008149CB">
              <w:rPr>
                <w:rFonts w:cstheme="minorHAnsi"/>
                <w:sz w:val="18"/>
                <w:lang w:val="es-CO"/>
              </w:rPr>
              <w:t>Presencial</w:t>
            </w:r>
          </w:p>
        </w:tc>
        <w:tc>
          <w:tcPr>
            <w:tcW w:w="992" w:type="dxa"/>
            <w:hideMark/>
          </w:tcPr>
          <w:p w:rsidR="008149CB" w:rsidRPr="008149CB" w:rsidRDefault="008149CB" w:rsidP="000C297D">
            <w:pPr>
              <w:jc w:val="center"/>
              <w:rPr>
                <w:rFonts w:cstheme="minorHAnsi"/>
                <w:sz w:val="18"/>
                <w:lang w:val="es-CO"/>
              </w:rPr>
            </w:pPr>
            <w:r w:rsidRPr="008149CB">
              <w:rPr>
                <w:rFonts w:cstheme="minorHAnsi"/>
                <w:sz w:val="18"/>
                <w:lang w:val="es-CO"/>
              </w:rPr>
              <w:t>Bogotá</w:t>
            </w:r>
          </w:p>
        </w:tc>
        <w:tc>
          <w:tcPr>
            <w:tcW w:w="851" w:type="dxa"/>
            <w:hideMark/>
          </w:tcPr>
          <w:p w:rsidR="008149CB" w:rsidRPr="008149CB" w:rsidRDefault="008149CB" w:rsidP="000C297D">
            <w:pPr>
              <w:jc w:val="center"/>
              <w:rPr>
                <w:rFonts w:cstheme="minorHAnsi"/>
                <w:sz w:val="18"/>
                <w:lang w:val="es-CO"/>
              </w:rPr>
            </w:pPr>
            <w:r w:rsidRPr="008149CB">
              <w:rPr>
                <w:rFonts w:cstheme="minorHAnsi"/>
                <w:sz w:val="18"/>
                <w:lang w:val="es-CO"/>
              </w:rPr>
              <w:t>Abril</w:t>
            </w:r>
          </w:p>
        </w:tc>
        <w:tc>
          <w:tcPr>
            <w:tcW w:w="992" w:type="dxa"/>
            <w:hideMark/>
          </w:tcPr>
          <w:p w:rsidR="008149CB" w:rsidRPr="008149CB" w:rsidRDefault="008149CB" w:rsidP="000C297D">
            <w:pPr>
              <w:jc w:val="center"/>
              <w:rPr>
                <w:rFonts w:cstheme="minorHAnsi"/>
                <w:sz w:val="18"/>
                <w:lang w:val="es-CO"/>
              </w:rPr>
            </w:pPr>
            <w:r w:rsidRPr="008149CB">
              <w:rPr>
                <w:rFonts w:cstheme="minorHAnsi"/>
                <w:sz w:val="18"/>
                <w:lang w:val="es-CO"/>
              </w:rPr>
              <w:t>73</w:t>
            </w:r>
          </w:p>
        </w:tc>
      </w:tr>
      <w:tr w:rsidR="008149CB" w:rsidRPr="008149CB" w:rsidTr="009F178F">
        <w:trPr>
          <w:trHeight w:val="300"/>
          <w:jc w:val="center"/>
        </w:trPr>
        <w:tc>
          <w:tcPr>
            <w:tcW w:w="392" w:type="dxa"/>
            <w:hideMark/>
          </w:tcPr>
          <w:p w:rsidR="008149CB" w:rsidRPr="008149CB" w:rsidRDefault="008149CB" w:rsidP="000C297D">
            <w:pPr>
              <w:jc w:val="both"/>
              <w:rPr>
                <w:rFonts w:cstheme="minorHAnsi"/>
                <w:sz w:val="18"/>
                <w:lang w:val="es-CO"/>
              </w:rPr>
            </w:pPr>
            <w:r w:rsidRPr="008149CB">
              <w:rPr>
                <w:rFonts w:cstheme="minorHAnsi"/>
                <w:sz w:val="18"/>
                <w:lang w:val="es-CO"/>
              </w:rPr>
              <w:t>17</w:t>
            </w:r>
          </w:p>
        </w:tc>
        <w:tc>
          <w:tcPr>
            <w:tcW w:w="3827" w:type="dxa"/>
            <w:hideMark/>
          </w:tcPr>
          <w:p w:rsidR="008149CB" w:rsidRPr="008149CB" w:rsidRDefault="008149CB" w:rsidP="000C297D">
            <w:pPr>
              <w:jc w:val="both"/>
              <w:rPr>
                <w:rFonts w:cstheme="minorHAnsi"/>
                <w:sz w:val="18"/>
                <w:lang w:val="es-CO"/>
              </w:rPr>
            </w:pPr>
            <w:r w:rsidRPr="008149CB">
              <w:rPr>
                <w:rFonts w:cstheme="minorHAnsi"/>
                <w:sz w:val="18"/>
                <w:lang w:val="es-CO"/>
              </w:rPr>
              <w:t xml:space="preserve">ICBF </w:t>
            </w:r>
          </w:p>
        </w:tc>
        <w:tc>
          <w:tcPr>
            <w:tcW w:w="1134" w:type="dxa"/>
            <w:hideMark/>
          </w:tcPr>
          <w:p w:rsidR="008149CB" w:rsidRPr="008149CB" w:rsidRDefault="008149CB" w:rsidP="000C297D">
            <w:pPr>
              <w:jc w:val="center"/>
              <w:rPr>
                <w:rFonts w:cstheme="minorHAnsi"/>
                <w:sz w:val="18"/>
                <w:lang w:val="es-CO"/>
              </w:rPr>
            </w:pPr>
            <w:r w:rsidRPr="008149CB">
              <w:rPr>
                <w:rFonts w:cstheme="minorHAnsi"/>
                <w:sz w:val="18"/>
                <w:lang w:val="es-CO"/>
              </w:rPr>
              <w:t>Presencial</w:t>
            </w:r>
          </w:p>
        </w:tc>
        <w:tc>
          <w:tcPr>
            <w:tcW w:w="992" w:type="dxa"/>
            <w:hideMark/>
          </w:tcPr>
          <w:p w:rsidR="008149CB" w:rsidRPr="008149CB" w:rsidRDefault="008149CB" w:rsidP="000C297D">
            <w:pPr>
              <w:jc w:val="center"/>
              <w:rPr>
                <w:rFonts w:cstheme="minorHAnsi"/>
                <w:sz w:val="18"/>
                <w:lang w:val="es-CO"/>
              </w:rPr>
            </w:pPr>
            <w:r w:rsidRPr="008149CB">
              <w:rPr>
                <w:rFonts w:cstheme="minorHAnsi"/>
                <w:sz w:val="18"/>
                <w:lang w:val="es-CO"/>
              </w:rPr>
              <w:t>Bogotá</w:t>
            </w:r>
          </w:p>
        </w:tc>
        <w:tc>
          <w:tcPr>
            <w:tcW w:w="851" w:type="dxa"/>
            <w:hideMark/>
          </w:tcPr>
          <w:p w:rsidR="008149CB" w:rsidRPr="008149CB" w:rsidRDefault="008149CB" w:rsidP="000C297D">
            <w:pPr>
              <w:jc w:val="center"/>
              <w:rPr>
                <w:rFonts w:cstheme="minorHAnsi"/>
                <w:sz w:val="18"/>
                <w:lang w:val="es-CO"/>
              </w:rPr>
            </w:pPr>
            <w:r w:rsidRPr="008149CB">
              <w:rPr>
                <w:rFonts w:cstheme="minorHAnsi"/>
                <w:sz w:val="18"/>
                <w:lang w:val="es-CO"/>
              </w:rPr>
              <w:t>Abril</w:t>
            </w:r>
          </w:p>
        </w:tc>
        <w:tc>
          <w:tcPr>
            <w:tcW w:w="992" w:type="dxa"/>
            <w:hideMark/>
          </w:tcPr>
          <w:p w:rsidR="008149CB" w:rsidRPr="008149CB" w:rsidRDefault="008149CB" w:rsidP="000C297D">
            <w:pPr>
              <w:jc w:val="center"/>
              <w:rPr>
                <w:rFonts w:cstheme="minorHAnsi"/>
                <w:sz w:val="18"/>
                <w:lang w:val="es-CO"/>
              </w:rPr>
            </w:pPr>
            <w:r w:rsidRPr="008149CB">
              <w:rPr>
                <w:rFonts w:cstheme="minorHAnsi"/>
                <w:sz w:val="18"/>
                <w:lang w:val="es-CO"/>
              </w:rPr>
              <w:t>49</w:t>
            </w:r>
          </w:p>
        </w:tc>
      </w:tr>
      <w:tr w:rsidR="008149CB" w:rsidRPr="008149CB" w:rsidTr="009F178F">
        <w:trPr>
          <w:trHeight w:val="300"/>
          <w:jc w:val="center"/>
        </w:trPr>
        <w:tc>
          <w:tcPr>
            <w:tcW w:w="392" w:type="dxa"/>
            <w:hideMark/>
          </w:tcPr>
          <w:p w:rsidR="008149CB" w:rsidRPr="008149CB" w:rsidRDefault="008149CB" w:rsidP="000C297D">
            <w:pPr>
              <w:jc w:val="both"/>
              <w:rPr>
                <w:rFonts w:cstheme="minorHAnsi"/>
                <w:sz w:val="18"/>
                <w:lang w:val="es-CO"/>
              </w:rPr>
            </w:pPr>
            <w:r w:rsidRPr="008149CB">
              <w:rPr>
                <w:rFonts w:cstheme="minorHAnsi"/>
                <w:sz w:val="18"/>
                <w:lang w:val="es-CO"/>
              </w:rPr>
              <w:t>18</w:t>
            </w:r>
          </w:p>
        </w:tc>
        <w:tc>
          <w:tcPr>
            <w:tcW w:w="3827" w:type="dxa"/>
            <w:hideMark/>
          </w:tcPr>
          <w:p w:rsidR="008149CB" w:rsidRPr="008149CB" w:rsidRDefault="008149CB" w:rsidP="000C297D">
            <w:pPr>
              <w:jc w:val="both"/>
              <w:rPr>
                <w:rFonts w:cstheme="minorHAnsi"/>
                <w:sz w:val="18"/>
                <w:lang w:val="es-CO"/>
              </w:rPr>
            </w:pPr>
            <w:r w:rsidRPr="008149CB">
              <w:rPr>
                <w:rFonts w:cstheme="minorHAnsi"/>
                <w:sz w:val="18"/>
                <w:lang w:val="es-CO"/>
              </w:rPr>
              <w:t xml:space="preserve">Ejército Nacional </w:t>
            </w:r>
          </w:p>
        </w:tc>
        <w:tc>
          <w:tcPr>
            <w:tcW w:w="1134" w:type="dxa"/>
            <w:hideMark/>
          </w:tcPr>
          <w:p w:rsidR="008149CB" w:rsidRPr="008149CB" w:rsidRDefault="008149CB" w:rsidP="000C297D">
            <w:pPr>
              <w:jc w:val="center"/>
              <w:rPr>
                <w:rFonts w:cstheme="minorHAnsi"/>
                <w:sz w:val="18"/>
                <w:lang w:val="es-CO"/>
              </w:rPr>
            </w:pPr>
            <w:r w:rsidRPr="008149CB">
              <w:rPr>
                <w:rFonts w:cstheme="minorHAnsi"/>
                <w:sz w:val="18"/>
                <w:lang w:val="es-CO"/>
              </w:rPr>
              <w:t>Presencial</w:t>
            </w:r>
          </w:p>
        </w:tc>
        <w:tc>
          <w:tcPr>
            <w:tcW w:w="992" w:type="dxa"/>
            <w:hideMark/>
          </w:tcPr>
          <w:p w:rsidR="008149CB" w:rsidRPr="008149CB" w:rsidRDefault="008149CB" w:rsidP="000C297D">
            <w:pPr>
              <w:jc w:val="center"/>
              <w:rPr>
                <w:rFonts w:cstheme="minorHAnsi"/>
                <w:sz w:val="18"/>
                <w:lang w:val="es-CO"/>
              </w:rPr>
            </w:pPr>
            <w:r w:rsidRPr="008149CB">
              <w:rPr>
                <w:rFonts w:cstheme="minorHAnsi"/>
                <w:sz w:val="18"/>
                <w:lang w:val="es-CO"/>
              </w:rPr>
              <w:t>Bogotá</w:t>
            </w:r>
          </w:p>
        </w:tc>
        <w:tc>
          <w:tcPr>
            <w:tcW w:w="851" w:type="dxa"/>
            <w:hideMark/>
          </w:tcPr>
          <w:p w:rsidR="008149CB" w:rsidRPr="008149CB" w:rsidRDefault="008149CB" w:rsidP="000C297D">
            <w:pPr>
              <w:jc w:val="center"/>
              <w:rPr>
                <w:rFonts w:cstheme="minorHAnsi"/>
                <w:sz w:val="18"/>
                <w:lang w:val="es-CO"/>
              </w:rPr>
            </w:pPr>
            <w:r w:rsidRPr="008149CB">
              <w:rPr>
                <w:rFonts w:cstheme="minorHAnsi"/>
                <w:sz w:val="18"/>
                <w:lang w:val="es-CO"/>
              </w:rPr>
              <w:t>Abril</w:t>
            </w:r>
          </w:p>
        </w:tc>
        <w:tc>
          <w:tcPr>
            <w:tcW w:w="992" w:type="dxa"/>
            <w:hideMark/>
          </w:tcPr>
          <w:p w:rsidR="008149CB" w:rsidRPr="008149CB" w:rsidRDefault="008149CB" w:rsidP="000C297D">
            <w:pPr>
              <w:jc w:val="center"/>
              <w:rPr>
                <w:rFonts w:cstheme="minorHAnsi"/>
                <w:sz w:val="18"/>
                <w:lang w:val="es-CO"/>
              </w:rPr>
            </w:pPr>
            <w:r w:rsidRPr="008149CB">
              <w:rPr>
                <w:rFonts w:cstheme="minorHAnsi"/>
                <w:sz w:val="18"/>
                <w:lang w:val="es-CO"/>
              </w:rPr>
              <w:t>2415</w:t>
            </w:r>
          </w:p>
        </w:tc>
      </w:tr>
      <w:tr w:rsidR="008149CB" w:rsidRPr="008149CB" w:rsidTr="009F178F">
        <w:trPr>
          <w:trHeight w:val="408"/>
          <w:jc w:val="center"/>
        </w:trPr>
        <w:tc>
          <w:tcPr>
            <w:tcW w:w="392" w:type="dxa"/>
            <w:hideMark/>
          </w:tcPr>
          <w:p w:rsidR="008149CB" w:rsidRPr="008149CB" w:rsidRDefault="008149CB" w:rsidP="000C297D">
            <w:pPr>
              <w:jc w:val="both"/>
              <w:rPr>
                <w:rFonts w:cstheme="minorHAnsi"/>
                <w:sz w:val="18"/>
                <w:lang w:val="es-CO"/>
              </w:rPr>
            </w:pPr>
            <w:r w:rsidRPr="008149CB">
              <w:rPr>
                <w:rFonts w:cstheme="minorHAnsi"/>
                <w:sz w:val="18"/>
                <w:lang w:val="es-CO"/>
              </w:rPr>
              <w:t>19</w:t>
            </w:r>
          </w:p>
        </w:tc>
        <w:tc>
          <w:tcPr>
            <w:tcW w:w="3827" w:type="dxa"/>
            <w:hideMark/>
          </w:tcPr>
          <w:p w:rsidR="008149CB" w:rsidRPr="008149CB" w:rsidRDefault="008149CB" w:rsidP="000C297D">
            <w:pPr>
              <w:jc w:val="both"/>
              <w:rPr>
                <w:rFonts w:cstheme="minorHAnsi"/>
                <w:sz w:val="18"/>
                <w:lang w:val="es-CO"/>
              </w:rPr>
            </w:pPr>
            <w:r w:rsidRPr="008149CB">
              <w:rPr>
                <w:rFonts w:cstheme="minorHAnsi"/>
                <w:sz w:val="18"/>
                <w:lang w:val="es-CO"/>
              </w:rPr>
              <w:t>Procuraduría Regional Antioquia y procuradurías provinciales de Antioquia</w:t>
            </w:r>
          </w:p>
        </w:tc>
        <w:tc>
          <w:tcPr>
            <w:tcW w:w="1134" w:type="dxa"/>
            <w:hideMark/>
          </w:tcPr>
          <w:p w:rsidR="008149CB" w:rsidRPr="008149CB" w:rsidRDefault="008149CB" w:rsidP="000C297D">
            <w:pPr>
              <w:jc w:val="center"/>
              <w:rPr>
                <w:rFonts w:cstheme="minorHAnsi"/>
                <w:sz w:val="18"/>
                <w:lang w:val="es-CO"/>
              </w:rPr>
            </w:pPr>
            <w:r w:rsidRPr="008149CB">
              <w:rPr>
                <w:rFonts w:cstheme="minorHAnsi"/>
                <w:sz w:val="18"/>
                <w:lang w:val="es-CO"/>
              </w:rPr>
              <w:t>Virtual</w:t>
            </w:r>
          </w:p>
        </w:tc>
        <w:tc>
          <w:tcPr>
            <w:tcW w:w="992" w:type="dxa"/>
            <w:hideMark/>
          </w:tcPr>
          <w:p w:rsidR="008149CB" w:rsidRPr="008149CB" w:rsidRDefault="008149CB" w:rsidP="000C297D">
            <w:pPr>
              <w:jc w:val="center"/>
              <w:rPr>
                <w:rFonts w:cstheme="minorHAnsi"/>
                <w:sz w:val="18"/>
                <w:lang w:val="es-CO"/>
              </w:rPr>
            </w:pPr>
            <w:r w:rsidRPr="008149CB">
              <w:rPr>
                <w:rFonts w:cstheme="minorHAnsi"/>
                <w:sz w:val="18"/>
                <w:lang w:val="es-CO"/>
              </w:rPr>
              <w:t>Bogotá</w:t>
            </w:r>
          </w:p>
        </w:tc>
        <w:tc>
          <w:tcPr>
            <w:tcW w:w="851" w:type="dxa"/>
            <w:hideMark/>
          </w:tcPr>
          <w:p w:rsidR="008149CB" w:rsidRPr="008149CB" w:rsidRDefault="008149CB" w:rsidP="000C297D">
            <w:pPr>
              <w:jc w:val="center"/>
              <w:rPr>
                <w:rFonts w:cstheme="minorHAnsi"/>
                <w:sz w:val="18"/>
                <w:lang w:val="es-CO"/>
              </w:rPr>
            </w:pPr>
            <w:r w:rsidRPr="008149CB">
              <w:rPr>
                <w:rFonts w:cstheme="minorHAnsi"/>
                <w:sz w:val="18"/>
                <w:lang w:val="es-CO"/>
              </w:rPr>
              <w:t>Abril</w:t>
            </w:r>
          </w:p>
        </w:tc>
        <w:tc>
          <w:tcPr>
            <w:tcW w:w="992" w:type="dxa"/>
            <w:hideMark/>
          </w:tcPr>
          <w:p w:rsidR="008149CB" w:rsidRPr="008149CB" w:rsidRDefault="008149CB" w:rsidP="000C297D">
            <w:pPr>
              <w:jc w:val="center"/>
              <w:rPr>
                <w:rFonts w:cstheme="minorHAnsi"/>
                <w:sz w:val="18"/>
                <w:lang w:val="es-CO"/>
              </w:rPr>
            </w:pPr>
            <w:r w:rsidRPr="008149CB">
              <w:rPr>
                <w:rFonts w:cstheme="minorHAnsi"/>
                <w:sz w:val="18"/>
                <w:lang w:val="es-CO"/>
              </w:rPr>
              <w:t>12</w:t>
            </w:r>
          </w:p>
        </w:tc>
      </w:tr>
      <w:tr w:rsidR="008149CB" w:rsidRPr="008149CB" w:rsidTr="009F178F">
        <w:trPr>
          <w:trHeight w:val="221"/>
          <w:jc w:val="center"/>
        </w:trPr>
        <w:tc>
          <w:tcPr>
            <w:tcW w:w="392" w:type="dxa"/>
            <w:hideMark/>
          </w:tcPr>
          <w:p w:rsidR="008149CB" w:rsidRPr="008149CB" w:rsidRDefault="008149CB" w:rsidP="000C297D">
            <w:pPr>
              <w:jc w:val="both"/>
              <w:rPr>
                <w:rFonts w:cstheme="minorHAnsi"/>
                <w:sz w:val="18"/>
                <w:lang w:val="es-CO"/>
              </w:rPr>
            </w:pPr>
            <w:r w:rsidRPr="008149CB">
              <w:rPr>
                <w:rFonts w:cstheme="minorHAnsi"/>
                <w:sz w:val="18"/>
                <w:lang w:val="es-CO"/>
              </w:rPr>
              <w:t>20</w:t>
            </w:r>
          </w:p>
        </w:tc>
        <w:tc>
          <w:tcPr>
            <w:tcW w:w="3827" w:type="dxa"/>
            <w:hideMark/>
          </w:tcPr>
          <w:p w:rsidR="008149CB" w:rsidRPr="008149CB" w:rsidRDefault="008149CB" w:rsidP="000C297D">
            <w:pPr>
              <w:jc w:val="both"/>
              <w:rPr>
                <w:rFonts w:cstheme="minorHAnsi"/>
                <w:sz w:val="18"/>
                <w:lang w:val="es-CO"/>
              </w:rPr>
            </w:pPr>
            <w:proofErr w:type="spellStart"/>
            <w:r w:rsidRPr="008149CB">
              <w:rPr>
                <w:rFonts w:cstheme="minorHAnsi"/>
                <w:sz w:val="18"/>
                <w:lang w:val="es-CO"/>
              </w:rPr>
              <w:t>Colpensiones</w:t>
            </w:r>
            <w:proofErr w:type="spellEnd"/>
          </w:p>
        </w:tc>
        <w:tc>
          <w:tcPr>
            <w:tcW w:w="1134" w:type="dxa"/>
            <w:hideMark/>
          </w:tcPr>
          <w:p w:rsidR="008149CB" w:rsidRPr="008149CB" w:rsidRDefault="008149CB" w:rsidP="000C297D">
            <w:pPr>
              <w:jc w:val="center"/>
              <w:rPr>
                <w:rFonts w:cstheme="minorHAnsi"/>
                <w:sz w:val="18"/>
                <w:lang w:val="es-CO"/>
              </w:rPr>
            </w:pPr>
            <w:r w:rsidRPr="008149CB">
              <w:rPr>
                <w:rFonts w:cstheme="minorHAnsi"/>
                <w:sz w:val="18"/>
                <w:lang w:val="es-CO"/>
              </w:rPr>
              <w:t>Presencial</w:t>
            </w:r>
          </w:p>
        </w:tc>
        <w:tc>
          <w:tcPr>
            <w:tcW w:w="992" w:type="dxa"/>
            <w:hideMark/>
          </w:tcPr>
          <w:p w:rsidR="008149CB" w:rsidRPr="008149CB" w:rsidRDefault="008149CB" w:rsidP="000C297D">
            <w:pPr>
              <w:jc w:val="center"/>
              <w:rPr>
                <w:rFonts w:cstheme="minorHAnsi"/>
                <w:sz w:val="18"/>
                <w:lang w:val="es-CO"/>
              </w:rPr>
            </w:pPr>
            <w:r w:rsidRPr="008149CB">
              <w:rPr>
                <w:rFonts w:cstheme="minorHAnsi"/>
                <w:sz w:val="18"/>
                <w:lang w:val="es-CO"/>
              </w:rPr>
              <w:t>Bogotá</w:t>
            </w:r>
          </w:p>
        </w:tc>
        <w:tc>
          <w:tcPr>
            <w:tcW w:w="851" w:type="dxa"/>
            <w:hideMark/>
          </w:tcPr>
          <w:p w:rsidR="008149CB" w:rsidRPr="008149CB" w:rsidRDefault="008149CB" w:rsidP="000C297D">
            <w:pPr>
              <w:jc w:val="center"/>
              <w:rPr>
                <w:rFonts w:cstheme="minorHAnsi"/>
                <w:sz w:val="18"/>
                <w:lang w:val="es-CO"/>
              </w:rPr>
            </w:pPr>
            <w:r w:rsidRPr="008149CB">
              <w:rPr>
                <w:rFonts w:cstheme="minorHAnsi"/>
                <w:sz w:val="18"/>
                <w:lang w:val="es-CO"/>
              </w:rPr>
              <w:t>Mayo</w:t>
            </w:r>
          </w:p>
        </w:tc>
        <w:tc>
          <w:tcPr>
            <w:tcW w:w="992" w:type="dxa"/>
            <w:hideMark/>
          </w:tcPr>
          <w:p w:rsidR="008149CB" w:rsidRPr="008149CB" w:rsidRDefault="008149CB" w:rsidP="000C297D">
            <w:pPr>
              <w:jc w:val="center"/>
              <w:rPr>
                <w:rFonts w:cstheme="minorHAnsi"/>
                <w:sz w:val="18"/>
                <w:lang w:val="es-CO"/>
              </w:rPr>
            </w:pPr>
            <w:r w:rsidRPr="008149CB">
              <w:rPr>
                <w:rFonts w:cstheme="minorHAnsi"/>
                <w:sz w:val="18"/>
                <w:lang w:val="es-CO"/>
              </w:rPr>
              <w:t>26</w:t>
            </w:r>
          </w:p>
        </w:tc>
      </w:tr>
      <w:tr w:rsidR="008149CB" w:rsidRPr="008149CB" w:rsidTr="009F178F">
        <w:trPr>
          <w:trHeight w:val="266"/>
          <w:jc w:val="center"/>
        </w:trPr>
        <w:tc>
          <w:tcPr>
            <w:tcW w:w="392" w:type="dxa"/>
            <w:hideMark/>
          </w:tcPr>
          <w:p w:rsidR="008149CB" w:rsidRPr="008149CB" w:rsidRDefault="008149CB" w:rsidP="000C297D">
            <w:pPr>
              <w:jc w:val="both"/>
              <w:rPr>
                <w:rFonts w:cstheme="minorHAnsi"/>
                <w:sz w:val="18"/>
                <w:lang w:val="es-CO"/>
              </w:rPr>
            </w:pPr>
            <w:r w:rsidRPr="008149CB">
              <w:rPr>
                <w:rFonts w:cstheme="minorHAnsi"/>
                <w:sz w:val="18"/>
                <w:lang w:val="es-CO"/>
              </w:rPr>
              <w:t>21</w:t>
            </w:r>
          </w:p>
        </w:tc>
        <w:tc>
          <w:tcPr>
            <w:tcW w:w="3827" w:type="dxa"/>
            <w:hideMark/>
          </w:tcPr>
          <w:p w:rsidR="008149CB" w:rsidRPr="008149CB" w:rsidRDefault="008149CB" w:rsidP="000C297D">
            <w:pPr>
              <w:jc w:val="both"/>
              <w:rPr>
                <w:rFonts w:cstheme="minorHAnsi"/>
                <w:sz w:val="18"/>
                <w:lang w:val="es-CO"/>
              </w:rPr>
            </w:pPr>
            <w:r w:rsidRPr="008149CB">
              <w:rPr>
                <w:rFonts w:cstheme="minorHAnsi"/>
                <w:sz w:val="18"/>
                <w:lang w:val="es-CO"/>
              </w:rPr>
              <w:t>Contraloría de Bogotá</w:t>
            </w:r>
          </w:p>
        </w:tc>
        <w:tc>
          <w:tcPr>
            <w:tcW w:w="1134" w:type="dxa"/>
            <w:hideMark/>
          </w:tcPr>
          <w:p w:rsidR="008149CB" w:rsidRPr="008149CB" w:rsidRDefault="008149CB" w:rsidP="000C297D">
            <w:pPr>
              <w:jc w:val="center"/>
              <w:rPr>
                <w:rFonts w:cstheme="minorHAnsi"/>
                <w:sz w:val="18"/>
                <w:lang w:val="es-CO"/>
              </w:rPr>
            </w:pPr>
            <w:r w:rsidRPr="008149CB">
              <w:rPr>
                <w:rFonts w:cstheme="minorHAnsi"/>
                <w:sz w:val="18"/>
                <w:lang w:val="es-CO"/>
              </w:rPr>
              <w:t>Presencial</w:t>
            </w:r>
          </w:p>
        </w:tc>
        <w:tc>
          <w:tcPr>
            <w:tcW w:w="992" w:type="dxa"/>
            <w:hideMark/>
          </w:tcPr>
          <w:p w:rsidR="008149CB" w:rsidRPr="008149CB" w:rsidRDefault="008149CB" w:rsidP="000C297D">
            <w:pPr>
              <w:jc w:val="center"/>
              <w:rPr>
                <w:rFonts w:cstheme="minorHAnsi"/>
                <w:sz w:val="18"/>
                <w:lang w:val="es-CO"/>
              </w:rPr>
            </w:pPr>
            <w:r w:rsidRPr="008149CB">
              <w:rPr>
                <w:rFonts w:cstheme="minorHAnsi"/>
                <w:sz w:val="18"/>
                <w:lang w:val="es-CO"/>
              </w:rPr>
              <w:t>Bogotá</w:t>
            </w:r>
          </w:p>
        </w:tc>
        <w:tc>
          <w:tcPr>
            <w:tcW w:w="851" w:type="dxa"/>
            <w:hideMark/>
          </w:tcPr>
          <w:p w:rsidR="008149CB" w:rsidRPr="008149CB" w:rsidRDefault="008149CB" w:rsidP="000C297D">
            <w:pPr>
              <w:jc w:val="center"/>
              <w:rPr>
                <w:rFonts w:cstheme="minorHAnsi"/>
                <w:sz w:val="18"/>
                <w:lang w:val="es-CO"/>
              </w:rPr>
            </w:pPr>
            <w:r w:rsidRPr="008149CB">
              <w:rPr>
                <w:rFonts w:cstheme="minorHAnsi"/>
                <w:sz w:val="18"/>
                <w:lang w:val="es-CO"/>
              </w:rPr>
              <w:t>Mayo</w:t>
            </w:r>
          </w:p>
        </w:tc>
        <w:tc>
          <w:tcPr>
            <w:tcW w:w="992" w:type="dxa"/>
            <w:hideMark/>
          </w:tcPr>
          <w:p w:rsidR="008149CB" w:rsidRPr="008149CB" w:rsidRDefault="008149CB" w:rsidP="000C297D">
            <w:pPr>
              <w:jc w:val="center"/>
              <w:rPr>
                <w:rFonts w:cstheme="minorHAnsi"/>
                <w:sz w:val="18"/>
                <w:lang w:val="es-CO"/>
              </w:rPr>
            </w:pPr>
            <w:r w:rsidRPr="008149CB">
              <w:rPr>
                <w:rFonts w:cstheme="minorHAnsi"/>
                <w:sz w:val="18"/>
                <w:lang w:val="es-CO"/>
              </w:rPr>
              <w:t>9</w:t>
            </w:r>
          </w:p>
        </w:tc>
      </w:tr>
      <w:tr w:rsidR="008149CB" w:rsidRPr="008149CB" w:rsidTr="009F178F">
        <w:trPr>
          <w:trHeight w:val="270"/>
          <w:jc w:val="center"/>
        </w:trPr>
        <w:tc>
          <w:tcPr>
            <w:tcW w:w="392" w:type="dxa"/>
            <w:hideMark/>
          </w:tcPr>
          <w:p w:rsidR="008149CB" w:rsidRPr="008149CB" w:rsidRDefault="008149CB" w:rsidP="000C297D">
            <w:pPr>
              <w:jc w:val="both"/>
              <w:rPr>
                <w:rFonts w:cstheme="minorHAnsi"/>
                <w:sz w:val="18"/>
                <w:lang w:val="es-CO"/>
              </w:rPr>
            </w:pPr>
            <w:r w:rsidRPr="008149CB">
              <w:rPr>
                <w:rFonts w:cstheme="minorHAnsi"/>
                <w:sz w:val="18"/>
                <w:lang w:val="es-CO"/>
              </w:rPr>
              <w:t>22</w:t>
            </w:r>
          </w:p>
        </w:tc>
        <w:tc>
          <w:tcPr>
            <w:tcW w:w="3827" w:type="dxa"/>
            <w:hideMark/>
          </w:tcPr>
          <w:p w:rsidR="008149CB" w:rsidRPr="008149CB" w:rsidRDefault="008149CB" w:rsidP="000C297D">
            <w:pPr>
              <w:jc w:val="both"/>
              <w:rPr>
                <w:rFonts w:cstheme="minorHAnsi"/>
                <w:sz w:val="18"/>
                <w:lang w:val="es-CO"/>
              </w:rPr>
            </w:pPr>
            <w:r w:rsidRPr="008149CB">
              <w:rPr>
                <w:rFonts w:cstheme="minorHAnsi"/>
                <w:sz w:val="18"/>
                <w:lang w:val="es-CO"/>
              </w:rPr>
              <w:t>Canal Capital</w:t>
            </w:r>
          </w:p>
        </w:tc>
        <w:tc>
          <w:tcPr>
            <w:tcW w:w="1134" w:type="dxa"/>
            <w:hideMark/>
          </w:tcPr>
          <w:p w:rsidR="008149CB" w:rsidRPr="008149CB" w:rsidRDefault="008149CB" w:rsidP="000C297D">
            <w:pPr>
              <w:jc w:val="center"/>
              <w:rPr>
                <w:rFonts w:cstheme="minorHAnsi"/>
                <w:sz w:val="18"/>
                <w:lang w:val="es-CO"/>
              </w:rPr>
            </w:pPr>
            <w:r w:rsidRPr="008149CB">
              <w:rPr>
                <w:rFonts w:cstheme="minorHAnsi"/>
                <w:sz w:val="18"/>
                <w:lang w:val="es-CO"/>
              </w:rPr>
              <w:t>Presencial</w:t>
            </w:r>
          </w:p>
        </w:tc>
        <w:tc>
          <w:tcPr>
            <w:tcW w:w="992" w:type="dxa"/>
            <w:hideMark/>
          </w:tcPr>
          <w:p w:rsidR="008149CB" w:rsidRPr="008149CB" w:rsidRDefault="008149CB" w:rsidP="000C297D">
            <w:pPr>
              <w:jc w:val="center"/>
              <w:rPr>
                <w:rFonts w:cstheme="minorHAnsi"/>
                <w:sz w:val="18"/>
                <w:lang w:val="es-CO"/>
              </w:rPr>
            </w:pPr>
            <w:r w:rsidRPr="008149CB">
              <w:rPr>
                <w:rFonts w:cstheme="minorHAnsi"/>
                <w:sz w:val="18"/>
                <w:lang w:val="es-CO"/>
              </w:rPr>
              <w:t>Bogotá</w:t>
            </w:r>
          </w:p>
        </w:tc>
        <w:tc>
          <w:tcPr>
            <w:tcW w:w="851" w:type="dxa"/>
            <w:hideMark/>
          </w:tcPr>
          <w:p w:rsidR="008149CB" w:rsidRPr="008149CB" w:rsidRDefault="008149CB" w:rsidP="000C297D">
            <w:pPr>
              <w:jc w:val="center"/>
              <w:rPr>
                <w:rFonts w:cstheme="minorHAnsi"/>
                <w:sz w:val="18"/>
                <w:lang w:val="es-CO"/>
              </w:rPr>
            </w:pPr>
            <w:r w:rsidRPr="008149CB">
              <w:rPr>
                <w:rFonts w:cstheme="minorHAnsi"/>
                <w:sz w:val="18"/>
                <w:lang w:val="es-CO"/>
              </w:rPr>
              <w:t>Mayo</w:t>
            </w:r>
          </w:p>
        </w:tc>
        <w:tc>
          <w:tcPr>
            <w:tcW w:w="992" w:type="dxa"/>
            <w:hideMark/>
          </w:tcPr>
          <w:p w:rsidR="008149CB" w:rsidRPr="008149CB" w:rsidRDefault="008149CB" w:rsidP="000C297D">
            <w:pPr>
              <w:jc w:val="center"/>
              <w:rPr>
                <w:rFonts w:cstheme="minorHAnsi"/>
                <w:sz w:val="18"/>
                <w:lang w:val="es-CO"/>
              </w:rPr>
            </w:pPr>
            <w:r w:rsidRPr="008149CB">
              <w:rPr>
                <w:rFonts w:cstheme="minorHAnsi"/>
                <w:sz w:val="18"/>
                <w:lang w:val="es-CO"/>
              </w:rPr>
              <w:t>34</w:t>
            </w:r>
          </w:p>
        </w:tc>
      </w:tr>
      <w:tr w:rsidR="008149CB" w:rsidRPr="008149CB" w:rsidTr="009F178F">
        <w:trPr>
          <w:trHeight w:val="146"/>
          <w:jc w:val="center"/>
        </w:trPr>
        <w:tc>
          <w:tcPr>
            <w:tcW w:w="392" w:type="dxa"/>
            <w:hideMark/>
          </w:tcPr>
          <w:p w:rsidR="008149CB" w:rsidRPr="008149CB" w:rsidRDefault="008149CB" w:rsidP="000C297D">
            <w:pPr>
              <w:jc w:val="both"/>
              <w:rPr>
                <w:rFonts w:cstheme="minorHAnsi"/>
                <w:sz w:val="18"/>
                <w:lang w:val="es-CO"/>
              </w:rPr>
            </w:pPr>
            <w:r w:rsidRPr="008149CB">
              <w:rPr>
                <w:rFonts w:cstheme="minorHAnsi"/>
                <w:sz w:val="18"/>
                <w:lang w:val="es-CO"/>
              </w:rPr>
              <w:t>23</w:t>
            </w:r>
          </w:p>
        </w:tc>
        <w:tc>
          <w:tcPr>
            <w:tcW w:w="3827" w:type="dxa"/>
            <w:hideMark/>
          </w:tcPr>
          <w:p w:rsidR="008149CB" w:rsidRPr="008149CB" w:rsidRDefault="008149CB" w:rsidP="000C297D">
            <w:pPr>
              <w:jc w:val="both"/>
              <w:rPr>
                <w:rFonts w:cstheme="minorHAnsi"/>
                <w:sz w:val="18"/>
                <w:lang w:val="es-CO"/>
              </w:rPr>
            </w:pPr>
            <w:r w:rsidRPr="008149CB">
              <w:rPr>
                <w:rFonts w:cstheme="minorHAnsi"/>
                <w:sz w:val="18"/>
                <w:lang w:val="es-CO"/>
              </w:rPr>
              <w:t>Migración Colombia</w:t>
            </w:r>
          </w:p>
        </w:tc>
        <w:tc>
          <w:tcPr>
            <w:tcW w:w="1134" w:type="dxa"/>
            <w:hideMark/>
          </w:tcPr>
          <w:p w:rsidR="008149CB" w:rsidRPr="008149CB" w:rsidRDefault="008149CB" w:rsidP="000C297D">
            <w:pPr>
              <w:jc w:val="center"/>
              <w:rPr>
                <w:rFonts w:cstheme="minorHAnsi"/>
                <w:sz w:val="18"/>
                <w:lang w:val="es-CO"/>
              </w:rPr>
            </w:pPr>
            <w:r w:rsidRPr="008149CB">
              <w:rPr>
                <w:rFonts w:cstheme="minorHAnsi"/>
                <w:sz w:val="18"/>
                <w:lang w:val="es-CO"/>
              </w:rPr>
              <w:t>Presencial</w:t>
            </w:r>
          </w:p>
        </w:tc>
        <w:tc>
          <w:tcPr>
            <w:tcW w:w="992" w:type="dxa"/>
            <w:hideMark/>
          </w:tcPr>
          <w:p w:rsidR="008149CB" w:rsidRPr="008149CB" w:rsidRDefault="008149CB" w:rsidP="000C297D">
            <w:pPr>
              <w:jc w:val="center"/>
              <w:rPr>
                <w:rFonts w:cstheme="minorHAnsi"/>
                <w:sz w:val="18"/>
                <w:lang w:val="es-CO"/>
              </w:rPr>
            </w:pPr>
            <w:r w:rsidRPr="008149CB">
              <w:rPr>
                <w:rFonts w:cstheme="minorHAnsi"/>
                <w:sz w:val="18"/>
                <w:lang w:val="es-CO"/>
              </w:rPr>
              <w:t>Bogotá</w:t>
            </w:r>
          </w:p>
        </w:tc>
        <w:tc>
          <w:tcPr>
            <w:tcW w:w="851" w:type="dxa"/>
            <w:hideMark/>
          </w:tcPr>
          <w:p w:rsidR="008149CB" w:rsidRPr="008149CB" w:rsidRDefault="008149CB" w:rsidP="000C297D">
            <w:pPr>
              <w:jc w:val="center"/>
              <w:rPr>
                <w:rFonts w:cstheme="minorHAnsi"/>
                <w:sz w:val="18"/>
                <w:lang w:val="es-CO"/>
              </w:rPr>
            </w:pPr>
            <w:r w:rsidRPr="008149CB">
              <w:rPr>
                <w:rFonts w:cstheme="minorHAnsi"/>
                <w:sz w:val="18"/>
                <w:lang w:val="es-CO"/>
              </w:rPr>
              <w:t>Mayo</w:t>
            </w:r>
          </w:p>
        </w:tc>
        <w:tc>
          <w:tcPr>
            <w:tcW w:w="992" w:type="dxa"/>
            <w:hideMark/>
          </w:tcPr>
          <w:p w:rsidR="008149CB" w:rsidRPr="008149CB" w:rsidRDefault="008149CB" w:rsidP="000C297D">
            <w:pPr>
              <w:jc w:val="center"/>
              <w:rPr>
                <w:rFonts w:cstheme="minorHAnsi"/>
                <w:sz w:val="18"/>
                <w:lang w:val="es-CO"/>
              </w:rPr>
            </w:pPr>
            <w:r w:rsidRPr="008149CB">
              <w:rPr>
                <w:rFonts w:cstheme="minorHAnsi"/>
                <w:sz w:val="18"/>
                <w:lang w:val="es-CO"/>
              </w:rPr>
              <w:t>12</w:t>
            </w:r>
          </w:p>
        </w:tc>
      </w:tr>
      <w:tr w:rsidR="008149CB" w:rsidRPr="008149CB" w:rsidTr="009F178F">
        <w:trPr>
          <w:trHeight w:val="178"/>
          <w:jc w:val="center"/>
        </w:trPr>
        <w:tc>
          <w:tcPr>
            <w:tcW w:w="392" w:type="dxa"/>
            <w:hideMark/>
          </w:tcPr>
          <w:p w:rsidR="008149CB" w:rsidRPr="008149CB" w:rsidRDefault="008149CB" w:rsidP="000C297D">
            <w:pPr>
              <w:jc w:val="both"/>
              <w:rPr>
                <w:rFonts w:cstheme="minorHAnsi"/>
                <w:sz w:val="18"/>
                <w:lang w:val="es-CO"/>
              </w:rPr>
            </w:pPr>
            <w:r w:rsidRPr="008149CB">
              <w:rPr>
                <w:rFonts w:cstheme="minorHAnsi"/>
                <w:sz w:val="18"/>
                <w:lang w:val="es-CO"/>
              </w:rPr>
              <w:t>24</w:t>
            </w:r>
          </w:p>
        </w:tc>
        <w:tc>
          <w:tcPr>
            <w:tcW w:w="3827" w:type="dxa"/>
            <w:hideMark/>
          </w:tcPr>
          <w:p w:rsidR="008149CB" w:rsidRPr="008149CB" w:rsidRDefault="008149CB" w:rsidP="000C297D">
            <w:pPr>
              <w:jc w:val="both"/>
              <w:rPr>
                <w:rFonts w:cstheme="minorHAnsi"/>
                <w:sz w:val="18"/>
                <w:lang w:val="es-CO"/>
              </w:rPr>
            </w:pPr>
            <w:r w:rsidRPr="008149CB">
              <w:rPr>
                <w:rFonts w:cstheme="minorHAnsi"/>
                <w:sz w:val="18"/>
                <w:lang w:val="es-CO"/>
              </w:rPr>
              <w:t>ICA</w:t>
            </w:r>
          </w:p>
        </w:tc>
        <w:tc>
          <w:tcPr>
            <w:tcW w:w="1134" w:type="dxa"/>
            <w:hideMark/>
          </w:tcPr>
          <w:p w:rsidR="008149CB" w:rsidRPr="008149CB" w:rsidRDefault="008149CB" w:rsidP="000C297D">
            <w:pPr>
              <w:jc w:val="center"/>
              <w:rPr>
                <w:rFonts w:cstheme="minorHAnsi"/>
                <w:sz w:val="18"/>
                <w:lang w:val="es-CO"/>
              </w:rPr>
            </w:pPr>
            <w:r w:rsidRPr="008149CB">
              <w:rPr>
                <w:rFonts w:cstheme="minorHAnsi"/>
                <w:sz w:val="18"/>
                <w:lang w:val="es-CO"/>
              </w:rPr>
              <w:t>Presencial</w:t>
            </w:r>
          </w:p>
        </w:tc>
        <w:tc>
          <w:tcPr>
            <w:tcW w:w="992" w:type="dxa"/>
            <w:hideMark/>
          </w:tcPr>
          <w:p w:rsidR="008149CB" w:rsidRPr="008149CB" w:rsidRDefault="008149CB" w:rsidP="000C297D">
            <w:pPr>
              <w:jc w:val="center"/>
              <w:rPr>
                <w:rFonts w:cstheme="minorHAnsi"/>
                <w:sz w:val="18"/>
                <w:lang w:val="es-CO"/>
              </w:rPr>
            </w:pPr>
            <w:r w:rsidRPr="008149CB">
              <w:rPr>
                <w:rFonts w:cstheme="minorHAnsi"/>
                <w:sz w:val="18"/>
                <w:lang w:val="es-CO"/>
              </w:rPr>
              <w:t>Bogotá</w:t>
            </w:r>
          </w:p>
        </w:tc>
        <w:tc>
          <w:tcPr>
            <w:tcW w:w="851" w:type="dxa"/>
            <w:hideMark/>
          </w:tcPr>
          <w:p w:rsidR="008149CB" w:rsidRPr="008149CB" w:rsidRDefault="008149CB" w:rsidP="000C297D">
            <w:pPr>
              <w:jc w:val="center"/>
              <w:rPr>
                <w:rFonts w:cstheme="minorHAnsi"/>
                <w:sz w:val="18"/>
                <w:lang w:val="es-CO"/>
              </w:rPr>
            </w:pPr>
          </w:p>
        </w:tc>
        <w:tc>
          <w:tcPr>
            <w:tcW w:w="992" w:type="dxa"/>
            <w:hideMark/>
          </w:tcPr>
          <w:p w:rsidR="008149CB" w:rsidRPr="008149CB" w:rsidRDefault="008149CB" w:rsidP="000C297D">
            <w:pPr>
              <w:jc w:val="center"/>
              <w:rPr>
                <w:rFonts w:cstheme="minorHAnsi"/>
                <w:sz w:val="18"/>
                <w:lang w:val="es-CO"/>
              </w:rPr>
            </w:pPr>
            <w:r w:rsidRPr="008149CB">
              <w:rPr>
                <w:rFonts w:cstheme="minorHAnsi"/>
                <w:sz w:val="18"/>
                <w:lang w:val="es-CO"/>
              </w:rPr>
              <w:t>24</w:t>
            </w:r>
          </w:p>
        </w:tc>
      </w:tr>
      <w:tr w:rsidR="008149CB" w:rsidRPr="008149CB" w:rsidTr="009F178F">
        <w:trPr>
          <w:trHeight w:val="300"/>
          <w:jc w:val="center"/>
        </w:trPr>
        <w:tc>
          <w:tcPr>
            <w:tcW w:w="392" w:type="dxa"/>
            <w:hideMark/>
          </w:tcPr>
          <w:p w:rsidR="008149CB" w:rsidRPr="008149CB" w:rsidRDefault="008149CB" w:rsidP="000C297D">
            <w:pPr>
              <w:jc w:val="both"/>
              <w:rPr>
                <w:rFonts w:cstheme="minorHAnsi"/>
                <w:sz w:val="18"/>
                <w:lang w:val="es-CO"/>
              </w:rPr>
            </w:pPr>
            <w:r w:rsidRPr="008149CB">
              <w:rPr>
                <w:rFonts w:cstheme="minorHAnsi"/>
                <w:sz w:val="18"/>
                <w:lang w:val="es-CO"/>
              </w:rPr>
              <w:t>25</w:t>
            </w:r>
          </w:p>
        </w:tc>
        <w:tc>
          <w:tcPr>
            <w:tcW w:w="3827" w:type="dxa"/>
            <w:hideMark/>
          </w:tcPr>
          <w:p w:rsidR="008149CB" w:rsidRPr="008149CB" w:rsidRDefault="008149CB" w:rsidP="000C297D">
            <w:pPr>
              <w:jc w:val="both"/>
              <w:rPr>
                <w:rFonts w:cstheme="minorHAnsi"/>
                <w:sz w:val="18"/>
                <w:lang w:val="es-CO"/>
              </w:rPr>
            </w:pPr>
            <w:r w:rsidRPr="008149CB">
              <w:rPr>
                <w:rFonts w:cstheme="minorHAnsi"/>
                <w:sz w:val="18"/>
                <w:lang w:val="es-CO"/>
              </w:rPr>
              <w:t xml:space="preserve">Ejército Nacional </w:t>
            </w:r>
          </w:p>
        </w:tc>
        <w:tc>
          <w:tcPr>
            <w:tcW w:w="1134" w:type="dxa"/>
            <w:hideMark/>
          </w:tcPr>
          <w:p w:rsidR="008149CB" w:rsidRPr="008149CB" w:rsidRDefault="008149CB" w:rsidP="000C297D">
            <w:pPr>
              <w:jc w:val="center"/>
              <w:rPr>
                <w:rFonts w:cstheme="minorHAnsi"/>
                <w:sz w:val="18"/>
                <w:lang w:val="es-CO"/>
              </w:rPr>
            </w:pPr>
            <w:r w:rsidRPr="008149CB">
              <w:rPr>
                <w:rFonts w:cstheme="minorHAnsi"/>
                <w:sz w:val="18"/>
                <w:lang w:val="es-CO"/>
              </w:rPr>
              <w:t>Presencial</w:t>
            </w:r>
          </w:p>
        </w:tc>
        <w:tc>
          <w:tcPr>
            <w:tcW w:w="992" w:type="dxa"/>
            <w:hideMark/>
          </w:tcPr>
          <w:p w:rsidR="008149CB" w:rsidRPr="008149CB" w:rsidRDefault="008149CB" w:rsidP="000C297D">
            <w:pPr>
              <w:jc w:val="center"/>
              <w:rPr>
                <w:rFonts w:cstheme="minorHAnsi"/>
                <w:sz w:val="18"/>
                <w:lang w:val="es-CO"/>
              </w:rPr>
            </w:pPr>
            <w:r w:rsidRPr="008149CB">
              <w:rPr>
                <w:rFonts w:cstheme="minorHAnsi"/>
                <w:sz w:val="18"/>
                <w:lang w:val="es-CO"/>
              </w:rPr>
              <w:t>Bogotá</w:t>
            </w:r>
          </w:p>
        </w:tc>
        <w:tc>
          <w:tcPr>
            <w:tcW w:w="851" w:type="dxa"/>
            <w:hideMark/>
          </w:tcPr>
          <w:p w:rsidR="008149CB" w:rsidRPr="008149CB" w:rsidRDefault="008149CB" w:rsidP="000C297D">
            <w:pPr>
              <w:jc w:val="center"/>
              <w:rPr>
                <w:rFonts w:cstheme="minorHAnsi"/>
                <w:sz w:val="18"/>
                <w:lang w:val="es-CO"/>
              </w:rPr>
            </w:pPr>
            <w:r w:rsidRPr="008149CB">
              <w:rPr>
                <w:rFonts w:cstheme="minorHAnsi"/>
                <w:sz w:val="18"/>
                <w:lang w:val="es-CO"/>
              </w:rPr>
              <w:t>Mayo</w:t>
            </w:r>
          </w:p>
        </w:tc>
        <w:tc>
          <w:tcPr>
            <w:tcW w:w="992" w:type="dxa"/>
            <w:hideMark/>
          </w:tcPr>
          <w:p w:rsidR="008149CB" w:rsidRPr="008149CB" w:rsidRDefault="008149CB" w:rsidP="000C297D">
            <w:pPr>
              <w:jc w:val="center"/>
              <w:rPr>
                <w:rFonts w:cstheme="minorHAnsi"/>
                <w:sz w:val="18"/>
                <w:lang w:val="es-CO"/>
              </w:rPr>
            </w:pPr>
            <w:r w:rsidRPr="008149CB">
              <w:rPr>
                <w:rFonts w:cstheme="minorHAnsi"/>
                <w:sz w:val="18"/>
                <w:lang w:val="es-CO"/>
              </w:rPr>
              <w:t>11</w:t>
            </w:r>
          </w:p>
        </w:tc>
      </w:tr>
      <w:tr w:rsidR="008149CB" w:rsidRPr="008149CB" w:rsidTr="009F178F">
        <w:trPr>
          <w:trHeight w:val="186"/>
          <w:jc w:val="center"/>
        </w:trPr>
        <w:tc>
          <w:tcPr>
            <w:tcW w:w="392" w:type="dxa"/>
            <w:hideMark/>
          </w:tcPr>
          <w:p w:rsidR="008149CB" w:rsidRPr="008149CB" w:rsidRDefault="008149CB" w:rsidP="000C297D">
            <w:pPr>
              <w:jc w:val="both"/>
              <w:rPr>
                <w:rFonts w:cstheme="minorHAnsi"/>
                <w:sz w:val="18"/>
                <w:lang w:val="es-CO"/>
              </w:rPr>
            </w:pPr>
            <w:r w:rsidRPr="008149CB">
              <w:rPr>
                <w:rFonts w:cstheme="minorHAnsi"/>
                <w:sz w:val="18"/>
                <w:lang w:val="es-CO"/>
              </w:rPr>
              <w:t>26</w:t>
            </w:r>
          </w:p>
        </w:tc>
        <w:tc>
          <w:tcPr>
            <w:tcW w:w="3827" w:type="dxa"/>
            <w:hideMark/>
          </w:tcPr>
          <w:p w:rsidR="008149CB" w:rsidRPr="008149CB" w:rsidRDefault="008149CB" w:rsidP="000C297D">
            <w:pPr>
              <w:jc w:val="both"/>
              <w:rPr>
                <w:rFonts w:cstheme="minorHAnsi"/>
                <w:sz w:val="18"/>
                <w:lang w:val="es-CO"/>
              </w:rPr>
            </w:pPr>
            <w:r w:rsidRPr="008149CB">
              <w:rPr>
                <w:rFonts w:cstheme="minorHAnsi"/>
                <w:sz w:val="18"/>
                <w:lang w:val="es-CO"/>
              </w:rPr>
              <w:t>RTVC</w:t>
            </w:r>
          </w:p>
        </w:tc>
        <w:tc>
          <w:tcPr>
            <w:tcW w:w="1134" w:type="dxa"/>
            <w:hideMark/>
          </w:tcPr>
          <w:p w:rsidR="008149CB" w:rsidRPr="008149CB" w:rsidRDefault="008149CB" w:rsidP="000C297D">
            <w:pPr>
              <w:jc w:val="center"/>
              <w:rPr>
                <w:rFonts w:cstheme="minorHAnsi"/>
                <w:sz w:val="18"/>
                <w:lang w:val="es-CO"/>
              </w:rPr>
            </w:pPr>
            <w:r w:rsidRPr="008149CB">
              <w:rPr>
                <w:rFonts w:cstheme="minorHAnsi"/>
                <w:sz w:val="18"/>
                <w:lang w:val="es-CO"/>
              </w:rPr>
              <w:t>Presencial</w:t>
            </w:r>
          </w:p>
        </w:tc>
        <w:tc>
          <w:tcPr>
            <w:tcW w:w="992" w:type="dxa"/>
            <w:hideMark/>
          </w:tcPr>
          <w:p w:rsidR="008149CB" w:rsidRPr="008149CB" w:rsidRDefault="008149CB" w:rsidP="000C297D">
            <w:pPr>
              <w:jc w:val="center"/>
              <w:rPr>
                <w:rFonts w:cstheme="minorHAnsi"/>
                <w:sz w:val="18"/>
                <w:lang w:val="es-CO"/>
              </w:rPr>
            </w:pPr>
            <w:r w:rsidRPr="008149CB">
              <w:rPr>
                <w:rFonts w:cstheme="minorHAnsi"/>
                <w:sz w:val="18"/>
                <w:lang w:val="es-CO"/>
              </w:rPr>
              <w:t>Bogotá</w:t>
            </w:r>
          </w:p>
        </w:tc>
        <w:tc>
          <w:tcPr>
            <w:tcW w:w="851" w:type="dxa"/>
            <w:hideMark/>
          </w:tcPr>
          <w:p w:rsidR="008149CB" w:rsidRPr="008149CB" w:rsidRDefault="008149CB" w:rsidP="000C297D">
            <w:pPr>
              <w:jc w:val="center"/>
              <w:rPr>
                <w:rFonts w:cstheme="minorHAnsi"/>
                <w:sz w:val="18"/>
                <w:lang w:val="es-CO"/>
              </w:rPr>
            </w:pPr>
            <w:r w:rsidRPr="008149CB">
              <w:rPr>
                <w:rFonts w:cstheme="minorHAnsi"/>
                <w:sz w:val="18"/>
                <w:lang w:val="es-CO"/>
              </w:rPr>
              <w:t>Mayo</w:t>
            </w:r>
          </w:p>
        </w:tc>
        <w:tc>
          <w:tcPr>
            <w:tcW w:w="992" w:type="dxa"/>
            <w:hideMark/>
          </w:tcPr>
          <w:p w:rsidR="008149CB" w:rsidRPr="008149CB" w:rsidRDefault="008149CB" w:rsidP="000C297D">
            <w:pPr>
              <w:jc w:val="center"/>
              <w:rPr>
                <w:rFonts w:cstheme="minorHAnsi"/>
                <w:sz w:val="18"/>
                <w:lang w:val="es-CO"/>
              </w:rPr>
            </w:pPr>
            <w:r w:rsidRPr="008149CB">
              <w:rPr>
                <w:rFonts w:cstheme="minorHAnsi"/>
                <w:sz w:val="18"/>
                <w:lang w:val="es-CO"/>
              </w:rPr>
              <w:t>30</w:t>
            </w:r>
          </w:p>
        </w:tc>
      </w:tr>
      <w:tr w:rsidR="008149CB" w:rsidRPr="008149CB" w:rsidTr="009F178F">
        <w:trPr>
          <w:trHeight w:val="232"/>
          <w:jc w:val="center"/>
        </w:trPr>
        <w:tc>
          <w:tcPr>
            <w:tcW w:w="392" w:type="dxa"/>
            <w:hideMark/>
          </w:tcPr>
          <w:p w:rsidR="008149CB" w:rsidRPr="008149CB" w:rsidRDefault="008149CB" w:rsidP="000C297D">
            <w:pPr>
              <w:jc w:val="both"/>
              <w:rPr>
                <w:rFonts w:cstheme="minorHAnsi"/>
                <w:sz w:val="18"/>
                <w:lang w:val="es-CO"/>
              </w:rPr>
            </w:pPr>
            <w:r w:rsidRPr="008149CB">
              <w:rPr>
                <w:rFonts w:cstheme="minorHAnsi"/>
                <w:sz w:val="18"/>
                <w:lang w:val="es-CO"/>
              </w:rPr>
              <w:t>27</w:t>
            </w:r>
          </w:p>
        </w:tc>
        <w:tc>
          <w:tcPr>
            <w:tcW w:w="3827" w:type="dxa"/>
            <w:hideMark/>
          </w:tcPr>
          <w:p w:rsidR="008149CB" w:rsidRPr="008149CB" w:rsidRDefault="008149CB" w:rsidP="000C297D">
            <w:pPr>
              <w:jc w:val="both"/>
              <w:rPr>
                <w:rFonts w:cstheme="minorHAnsi"/>
                <w:sz w:val="18"/>
                <w:lang w:val="es-CO"/>
              </w:rPr>
            </w:pPr>
            <w:r w:rsidRPr="008149CB">
              <w:rPr>
                <w:rFonts w:cstheme="minorHAnsi"/>
                <w:sz w:val="18"/>
                <w:lang w:val="es-CO"/>
              </w:rPr>
              <w:t>Cancillería</w:t>
            </w:r>
          </w:p>
        </w:tc>
        <w:tc>
          <w:tcPr>
            <w:tcW w:w="1134" w:type="dxa"/>
            <w:hideMark/>
          </w:tcPr>
          <w:p w:rsidR="008149CB" w:rsidRPr="008149CB" w:rsidRDefault="008149CB" w:rsidP="000C297D">
            <w:pPr>
              <w:jc w:val="center"/>
              <w:rPr>
                <w:rFonts w:cstheme="minorHAnsi"/>
                <w:sz w:val="18"/>
                <w:lang w:val="es-CO"/>
              </w:rPr>
            </w:pPr>
            <w:r w:rsidRPr="008149CB">
              <w:rPr>
                <w:rFonts w:cstheme="minorHAnsi"/>
                <w:sz w:val="18"/>
                <w:lang w:val="es-CO"/>
              </w:rPr>
              <w:t>Presencial</w:t>
            </w:r>
          </w:p>
        </w:tc>
        <w:tc>
          <w:tcPr>
            <w:tcW w:w="992" w:type="dxa"/>
            <w:hideMark/>
          </w:tcPr>
          <w:p w:rsidR="008149CB" w:rsidRPr="008149CB" w:rsidRDefault="008149CB" w:rsidP="000C297D">
            <w:pPr>
              <w:jc w:val="center"/>
              <w:rPr>
                <w:rFonts w:cstheme="minorHAnsi"/>
                <w:sz w:val="18"/>
                <w:lang w:val="es-CO"/>
              </w:rPr>
            </w:pPr>
            <w:r w:rsidRPr="008149CB">
              <w:rPr>
                <w:rFonts w:cstheme="minorHAnsi"/>
                <w:sz w:val="18"/>
                <w:lang w:val="es-CO"/>
              </w:rPr>
              <w:t>Bogotá</w:t>
            </w:r>
          </w:p>
        </w:tc>
        <w:tc>
          <w:tcPr>
            <w:tcW w:w="851" w:type="dxa"/>
            <w:hideMark/>
          </w:tcPr>
          <w:p w:rsidR="008149CB" w:rsidRPr="008149CB" w:rsidRDefault="008149CB" w:rsidP="000C297D">
            <w:pPr>
              <w:jc w:val="center"/>
              <w:rPr>
                <w:rFonts w:cstheme="minorHAnsi"/>
                <w:sz w:val="18"/>
                <w:lang w:val="es-CO"/>
              </w:rPr>
            </w:pPr>
            <w:r w:rsidRPr="008149CB">
              <w:rPr>
                <w:rFonts w:cstheme="minorHAnsi"/>
                <w:sz w:val="18"/>
                <w:lang w:val="es-CO"/>
              </w:rPr>
              <w:t>Mayo</w:t>
            </w:r>
          </w:p>
        </w:tc>
        <w:tc>
          <w:tcPr>
            <w:tcW w:w="992" w:type="dxa"/>
            <w:hideMark/>
          </w:tcPr>
          <w:p w:rsidR="008149CB" w:rsidRPr="008149CB" w:rsidRDefault="008149CB" w:rsidP="000C297D">
            <w:pPr>
              <w:jc w:val="center"/>
              <w:rPr>
                <w:rFonts w:cstheme="minorHAnsi"/>
                <w:sz w:val="18"/>
                <w:lang w:val="es-CO"/>
              </w:rPr>
            </w:pPr>
            <w:r w:rsidRPr="008149CB">
              <w:rPr>
                <w:rFonts w:cstheme="minorHAnsi"/>
                <w:sz w:val="18"/>
                <w:lang w:val="es-CO"/>
              </w:rPr>
              <w:t>11</w:t>
            </w:r>
          </w:p>
        </w:tc>
      </w:tr>
      <w:tr w:rsidR="008149CB" w:rsidRPr="008149CB" w:rsidTr="009F178F">
        <w:trPr>
          <w:trHeight w:val="300"/>
          <w:jc w:val="center"/>
        </w:trPr>
        <w:tc>
          <w:tcPr>
            <w:tcW w:w="392" w:type="dxa"/>
            <w:hideMark/>
          </w:tcPr>
          <w:p w:rsidR="008149CB" w:rsidRPr="008149CB" w:rsidRDefault="008149CB" w:rsidP="000C297D">
            <w:pPr>
              <w:jc w:val="both"/>
              <w:rPr>
                <w:rFonts w:cstheme="minorHAnsi"/>
                <w:sz w:val="18"/>
                <w:lang w:val="es-CO"/>
              </w:rPr>
            </w:pPr>
            <w:r w:rsidRPr="008149CB">
              <w:rPr>
                <w:rFonts w:cstheme="minorHAnsi"/>
                <w:sz w:val="18"/>
                <w:lang w:val="es-CO"/>
              </w:rPr>
              <w:t>28</w:t>
            </w:r>
          </w:p>
        </w:tc>
        <w:tc>
          <w:tcPr>
            <w:tcW w:w="3827" w:type="dxa"/>
            <w:hideMark/>
          </w:tcPr>
          <w:p w:rsidR="008149CB" w:rsidRPr="008149CB" w:rsidRDefault="008149CB" w:rsidP="000C297D">
            <w:pPr>
              <w:jc w:val="both"/>
              <w:rPr>
                <w:rFonts w:cstheme="minorHAnsi"/>
                <w:sz w:val="18"/>
                <w:lang w:val="es-CO"/>
              </w:rPr>
            </w:pPr>
            <w:r w:rsidRPr="008149CB">
              <w:rPr>
                <w:rFonts w:cstheme="minorHAnsi"/>
                <w:sz w:val="18"/>
                <w:lang w:val="es-CO"/>
              </w:rPr>
              <w:t>Secretaría Distrital de la Mujer</w:t>
            </w:r>
          </w:p>
        </w:tc>
        <w:tc>
          <w:tcPr>
            <w:tcW w:w="1134" w:type="dxa"/>
            <w:hideMark/>
          </w:tcPr>
          <w:p w:rsidR="008149CB" w:rsidRPr="008149CB" w:rsidRDefault="008149CB" w:rsidP="000C297D">
            <w:pPr>
              <w:jc w:val="center"/>
              <w:rPr>
                <w:rFonts w:cstheme="minorHAnsi"/>
                <w:sz w:val="18"/>
                <w:lang w:val="es-CO"/>
              </w:rPr>
            </w:pPr>
            <w:r w:rsidRPr="008149CB">
              <w:rPr>
                <w:rFonts w:cstheme="minorHAnsi"/>
                <w:sz w:val="18"/>
                <w:lang w:val="es-CO"/>
              </w:rPr>
              <w:t>Presencial</w:t>
            </w:r>
          </w:p>
        </w:tc>
        <w:tc>
          <w:tcPr>
            <w:tcW w:w="992" w:type="dxa"/>
            <w:hideMark/>
          </w:tcPr>
          <w:p w:rsidR="008149CB" w:rsidRPr="008149CB" w:rsidRDefault="008149CB" w:rsidP="000C297D">
            <w:pPr>
              <w:jc w:val="center"/>
              <w:rPr>
                <w:rFonts w:cstheme="minorHAnsi"/>
                <w:sz w:val="18"/>
                <w:lang w:val="es-CO"/>
              </w:rPr>
            </w:pPr>
            <w:r w:rsidRPr="008149CB">
              <w:rPr>
                <w:rFonts w:cstheme="minorHAnsi"/>
                <w:sz w:val="18"/>
                <w:lang w:val="es-CO"/>
              </w:rPr>
              <w:t>Bogotá</w:t>
            </w:r>
          </w:p>
        </w:tc>
        <w:tc>
          <w:tcPr>
            <w:tcW w:w="851" w:type="dxa"/>
            <w:hideMark/>
          </w:tcPr>
          <w:p w:rsidR="008149CB" w:rsidRPr="008149CB" w:rsidRDefault="008149CB" w:rsidP="000C297D">
            <w:pPr>
              <w:jc w:val="center"/>
              <w:rPr>
                <w:rFonts w:cstheme="minorHAnsi"/>
                <w:sz w:val="18"/>
                <w:lang w:val="es-CO"/>
              </w:rPr>
            </w:pPr>
            <w:r w:rsidRPr="008149CB">
              <w:rPr>
                <w:rFonts w:cstheme="minorHAnsi"/>
                <w:sz w:val="18"/>
                <w:lang w:val="es-CO"/>
              </w:rPr>
              <w:t>Mayo</w:t>
            </w:r>
          </w:p>
        </w:tc>
        <w:tc>
          <w:tcPr>
            <w:tcW w:w="992" w:type="dxa"/>
            <w:hideMark/>
          </w:tcPr>
          <w:p w:rsidR="008149CB" w:rsidRPr="008149CB" w:rsidRDefault="008149CB" w:rsidP="000C297D">
            <w:pPr>
              <w:jc w:val="center"/>
              <w:rPr>
                <w:rFonts w:cstheme="minorHAnsi"/>
                <w:sz w:val="18"/>
                <w:lang w:val="es-CO"/>
              </w:rPr>
            </w:pPr>
            <w:r w:rsidRPr="008149CB">
              <w:rPr>
                <w:rFonts w:cstheme="minorHAnsi"/>
                <w:sz w:val="18"/>
                <w:lang w:val="es-CO"/>
              </w:rPr>
              <w:t>28</w:t>
            </w:r>
          </w:p>
        </w:tc>
      </w:tr>
      <w:tr w:rsidR="008149CB" w:rsidRPr="008149CB" w:rsidTr="009F178F">
        <w:trPr>
          <w:trHeight w:val="300"/>
          <w:jc w:val="center"/>
        </w:trPr>
        <w:tc>
          <w:tcPr>
            <w:tcW w:w="392" w:type="dxa"/>
            <w:hideMark/>
          </w:tcPr>
          <w:p w:rsidR="008149CB" w:rsidRPr="008149CB" w:rsidRDefault="008149CB" w:rsidP="000C297D">
            <w:pPr>
              <w:jc w:val="both"/>
              <w:rPr>
                <w:rFonts w:cstheme="minorHAnsi"/>
                <w:sz w:val="18"/>
                <w:lang w:val="es-CO"/>
              </w:rPr>
            </w:pPr>
            <w:r w:rsidRPr="008149CB">
              <w:rPr>
                <w:rFonts w:cstheme="minorHAnsi"/>
                <w:sz w:val="18"/>
                <w:lang w:val="es-CO"/>
              </w:rPr>
              <w:t>29</w:t>
            </w:r>
          </w:p>
        </w:tc>
        <w:tc>
          <w:tcPr>
            <w:tcW w:w="3827" w:type="dxa"/>
            <w:hideMark/>
          </w:tcPr>
          <w:p w:rsidR="008149CB" w:rsidRPr="008149CB" w:rsidRDefault="008149CB" w:rsidP="000C297D">
            <w:pPr>
              <w:jc w:val="both"/>
              <w:rPr>
                <w:rFonts w:cstheme="minorHAnsi"/>
                <w:sz w:val="18"/>
                <w:lang w:val="es-CO"/>
              </w:rPr>
            </w:pPr>
            <w:r w:rsidRPr="008149CB">
              <w:rPr>
                <w:rFonts w:cstheme="minorHAnsi"/>
                <w:sz w:val="18"/>
                <w:lang w:val="es-CO"/>
              </w:rPr>
              <w:t>Procuraduría General de la Nación – personerías municipales de Risaralda</w:t>
            </w:r>
          </w:p>
        </w:tc>
        <w:tc>
          <w:tcPr>
            <w:tcW w:w="1134" w:type="dxa"/>
            <w:hideMark/>
          </w:tcPr>
          <w:p w:rsidR="008149CB" w:rsidRPr="008149CB" w:rsidRDefault="008149CB" w:rsidP="000C297D">
            <w:pPr>
              <w:jc w:val="center"/>
              <w:rPr>
                <w:rFonts w:cstheme="minorHAnsi"/>
                <w:sz w:val="18"/>
                <w:lang w:val="es-CO"/>
              </w:rPr>
            </w:pPr>
            <w:r w:rsidRPr="008149CB">
              <w:rPr>
                <w:rFonts w:cstheme="minorHAnsi"/>
                <w:sz w:val="18"/>
                <w:lang w:val="es-CO"/>
              </w:rPr>
              <w:t>Presencial</w:t>
            </w:r>
          </w:p>
        </w:tc>
        <w:tc>
          <w:tcPr>
            <w:tcW w:w="992" w:type="dxa"/>
            <w:hideMark/>
          </w:tcPr>
          <w:p w:rsidR="008149CB" w:rsidRPr="008149CB" w:rsidRDefault="008149CB" w:rsidP="000C297D">
            <w:pPr>
              <w:jc w:val="center"/>
              <w:rPr>
                <w:rFonts w:cstheme="minorHAnsi"/>
                <w:sz w:val="18"/>
                <w:lang w:val="es-CO"/>
              </w:rPr>
            </w:pPr>
            <w:r w:rsidRPr="008149CB">
              <w:rPr>
                <w:rFonts w:cstheme="minorHAnsi"/>
                <w:sz w:val="18"/>
                <w:lang w:val="es-CO"/>
              </w:rPr>
              <w:t>Pereira</w:t>
            </w:r>
          </w:p>
        </w:tc>
        <w:tc>
          <w:tcPr>
            <w:tcW w:w="851" w:type="dxa"/>
            <w:noWrap/>
            <w:hideMark/>
          </w:tcPr>
          <w:p w:rsidR="008149CB" w:rsidRPr="008149CB" w:rsidRDefault="008149CB" w:rsidP="000C297D">
            <w:pPr>
              <w:jc w:val="center"/>
              <w:rPr>
                <w:rFonts w:cstheme="minorHAnsi"/>
                <w:sz w:val="18"/>
                <w:lang w:val="es-CO"/>
              </w:rPr>
            </w:pPr>
            <w:r w:rsidRPr="008149CB">
              <w:rPr>
                <w:rFonts w:cstheme="minorHAnsi"/>
                <w:sz w:val="18"/>
                <w:lang w:val="es-CO"/>
              </w:rPr>
              <w:t>Mayo</w:t>
            </w:r>
          </w:p>
        </w:tc>
        <w:tc>
          <w:tcPr>
            <w:tcW w:w="992" w:type="dxa"/>
            <w:hideMark/>
          </w:tcPr>
          <w:p w:rsidR="008149CB" w:rsidRPr="008149CB" w:rsidRDefault="008149CB" w:rsidP="000C297D">
            <w:pPr>
              <w:jc w:val="center"/>
              <w:rPr>
                <w:rFonts w:cstheme="minorHAnsi"/>
                <w:sz w:val="18"/>
                <w:lang w:val="es-CO"/>
              </w:rPr>
            </w:pPr>
            <w:r w:rsidRPr="008149CB">
              <w:rPr>
                <w:rFonts w:cstheme="minorHAnsi"/>
                <w:sz w:val="18"/>
                <w:lang w:val="es-CO"/>
              </w:rPr>
              <w:t>158</w:t>
            </w:r>
          </w:p>
        </w:tc>
      </w:tr>
      <w:tr w:rsidR="008149CB" w:rsidRPr="008149CB" w:rsidTr="009F178F">
        <w:trPr>
          <w:trHeight w:val="204"/>
          <w:jc w:val="center"/>
        </w:trPr>
        <w:tc>
          <w:tcPr>
            <w:tcW w:w="392" w:type="dxa"/>
            <w:hideMark/>
          </w:tcPr>
          <w:p w:rsidR="008149CB" w:rsidRPr="008149CB" w:rsidRDefault="008149CB" w:rsidP="000C297D">
            <w:pPr>
              <w:jc w:val="both"/>
              <w:rPr>
                <w:rFonts w:cstheme="minorHAnsi"/>
                <w:sz w:val="18"/>
                <w:lang w:val="es-CO"/>
              </w:rPr>
            </w:pPr>
            <w:r w:rsidRPr="008149CB">
              <w:rPr>
                <w:rFonts w:cstheme="minorHAnsi"/>
                <w:sz w:val="18"/>
                <w:lang w:val="es-CO"/>
              </w:rPr>
              <w:t>30</w:t>
            </w:r>
          </w:p>
        </w:tc>
        <w:tc>
          <w:tcPr>
            <w:tcW w:w="3827" w:type="dxa"/>
            <w:hideMark/>
          </w:tcPr>
          <w:p w:rsidR="008149CB" w:rsidRPr="008149CB" w:rsidRDefault="008149CB" w:rsidP="000C297D">
            <w:pPr>
              <w:jc w:val="both"/>
              <w:rPr>
                <w:rFonts w:cstheme="minorHAnsi"/>
                <w:sz w:val="18"/>
                <w:lang w:val="es-CO"/>
              </w:rPr>
            </w:pPr>
            <w:r w:rsidRPr="008149CB">
              <w:rPr>
                <w:rFonts w:cstheme="minorHAnsi"/>
                <w:sz w:val="18"/>
                <w:lang w:val="es-CO"/>
              </w:rPr>
              <w:t>UAESP</w:t>
            </w:r>
          </w:p>
        </w:tc>
        <w:tc>
          <w:tcPr>
            <w:tcW w:w="1134" w:type="dxa"/>
            <w:hideMark/>
          </w:tcPr>
          <w:p w:rsidR="008149CB" w:rsidRPr="008149CB" w:rsidRDefault="008149CB" w:rsidP="000C297D">
            <w:pPr>
              <w:jc w:val="center"/>
              <w:rPr>
                <w:rFonts w:cstheme="minorHAnsi"/>
                <w:sz w:val="18"/>
                <w:lang w:val="es-CO"/>
              </w:rPr>
            </w:pPr>
            <w:r w:rsidRPr="008149CB">
              <w:rPr>
                <w:rFonts w:cstheme="minorHAnsi"/>
                <w:sz w:val="18"/>
                <w:lang w:val="es-CO"/>
              </w:rPr>
              <w:t>Presencial</w:t>
            </w:r>
          </w:p>
        </w:tc>
        <w:tc>
          <w:tcPr>
            <w:tcW w:w="992" w:type="dxa"/>
            <w:hideMark/>
          </w:tcPr>
          <w:p w:rsidR="008149CB" w:rsidRPr="008149CB" w:rsidRDefault="008149CB" w:rsidP="000C297D">
            <w:pPr>
              <w:jc w:val="center"/>
              <w:rPr>
                <w:rFonts w:cstheme="minorHAnsi"/>
                <w:sz w:val="18"/>
                <w:lang w:val="es-CO"/>
              </w:rPr>
            </w:pPr>
            <w:r w:rsidRPr="008149CB">
              <w:rPr>
                <w:rFonts w:cstheme="minorHAnsi"/>
                <w:sz w:val="18"/>
                <w:lang w:val="es-CO"/>
              </w:rPr>
              <w:t>Bogotá</w:t>
            </w:r>
          </w:p>
        </w:tc>
        <w:tc>
          <w:tcPr>
            <w:tcW w:w="851" w:type="dxa"/>
            <w:hideMark/>
          </w:tcPr>
          <w:p w:rsidR="008149CB" w:rsidRPr="008149CB" w:rsidRDefault="008149CB" w:rsidP="000C297D">
            <w:pPr>
              <w:jc w:val="center"/>
              <w:rPr>
                <w:rFonts w:cstheme="minorHAnsi"/>
                <w:sz w:val="18"/>
                <w:lang w:val="es-CO"/>
              </w:rPr>
            </w:pPr>
            <w:r w:rsidRPr="008149CB">
              <w:rPr>
                <w:rFonts w:cstheme="minorHAnsi"/>
                <w:sz w:val="18"/>
                <w:lang w:val="es-CO"/>
              </w:rPr>
              <w:t>Junio</w:t>
            </w:r>
          </w:p>
        </w:tc>
        <w:tc>
          <w:tcPr>
            <w:tcW w:w="992" w:type="dxa"/>
            <w:hideMark/>
          </w:tcPr>
          <w:p w:rsidR="008149CB" w:rsidRPr="008149CB" w:rsidRDefault="008149CB" w:rsidP="000C297D">
            <w:pPr>
              <w:jc w:val="center"/>
              <w:rPr>
                <w:rFonts w:cstheme="minorHAnsi"/>
                <w:sz w:val="18"/>
                <w:lang w:val="es-CO"/>
              </w:rPr>
            </w:pPr>
            <w:r w:rsidRPr="008149CB">
              <w:rPr>
                <w:rFonts w:cstheme="minorHAnsi"/>
                <w:sz w:val="18"/>
                <w:lang w:val="es-CO"/>
              </w:rPr>
              <w:t>32</w:t>
            </w:r>
          </w:p>
        </w:tc>
      </w:tr>
      <w:tr w:rsidR="008149CB" w:rsidRPr="008149CB" w:rsidTr="009F178F">
        <w:trPr>
          <w:trHeight w:val="236"/>
          <w:jc w:val="center"/>
        </w:trPr>
        <w:tc>
          <w:tcPr>
            <w:tcW w:w="392" w:type="dxa"/>
            <w:hideMark/>
          </w:tcPr>
          <w:p w:rsidR="008149CB" w:rsidRPr="008149CB" w:rsidRDefault="008149CB" w:rsidP="000C297D">
            <w:pPr>
              <w:jc w:val="both"/>
              <w:rPr>
                <w:rFonts w:cstheme="minorHAnsi"/>
                <w:sz w:val="18"/>
                <w:lang w:val="es-CO"/>
              </w:rPr>
            </w:pPr>
            <w:r w:rsidRPr="008149CB">
              <w:rPr>
                <w:rFonts w:cstheme="minorHAnsi"/>
                <w:sz w:val="18"/>
                <w:lang w:val="es-CO"/>
              </w:rPr>
              <w:t>31</w:t>
            </w:r>
          </w:p>
        </w:tc>
        <w:tc>
          <w:tcPr>
            <w:tcW w:w="3827" w:type="dxa"/>
            <w:hideMark/>
          </w:tcPr>
          <w:p w:rsidR="008149CB" w:rsidRPr="008149CB" w:rsidRDefault="008149CB" w:rsidP="000C297D">
            <w:pPr>
              <w:jc w:val="both"/>
              <w:rPr>
                <w:rFonts w:cstheme="minorHAnsi"/>
                <w:sz w:val="18"/>
                <w:lang w:val="es-CO"/>
              </w:rPr>
            </w:pPr>
            <w:r w:rsidRPr="008149CB">
              <w:rPr>
                <w:rFonts w:cstheme="minorHAnsi"/>
                <w:sz w:val="18"/>
                <w:lang w:val="es-CO"/>
              </w:rPr>
              <w:t>Transmilenio</w:t>
            </w:r>
          </w:p>
        </w:tc>
        <w:tc>
          <w:tcPr>
            <w:tcW w:w="1134" w:type="dxa"/>
            <w:hideMark/>
          </w:tcPr>
          <w:p w:rsidR="008149CB" w:rsidRPr="008149CB" w:rsidRDefault="008149CB" w:rsidP="000C297D">
            <w:pPr>
              <w:jc w:val="center"/>
              <w:rPr>
                <w:rFonts w:cstheme="minorHAnsi"/>
                <w:sz w:val="18"/>
                <w:lang w:val="es-CO"/>
              </w:rPr>
            </w:pPr>
            <w:r w:rsidRPr="008149CB">
              <w:rPr>
                <w:rFonts w:cstheme="minorHAnsi"/>
                <w:sz w:val="18"/>
                <w:lang w:val="es-CO"/>
              </w:rPr>
              <w:t>Presencial</w:t>
            </w:r>
          </w:p>
        </w:tc>
        <w:tc>
          <w:tcPr>
            <w:tcW w:w="992" w:type="dxa"/>
            <w:hideMark/>
          </w:tcPr>
          <w:p w:rsidR="008149CB" w:rsidRPr="008149CB" w:rsidRDefault="008149CB" w:rsidP="000C297D">
            <w:pPr>
              <w:jc w:val="center"/>
              <w:rPr>
                <w:rFonts w:cstheme="minorHAnsi"/>
                <w:sz w:val="18"/>
                <w:lang w:val="es-CO"/>
              </w:rPr>
            </w:pPr>
            <w:r w:rsidRPr="008149CB">
              <w:rPr>
                <w:rFonts w:cstheme="minorHAnsi"/>
                <w:sz w:val="18"/>
                <w:lang w:val="es-CO"/>
              </w:rPr>
              <w:t>Bogotá</w:t>
            </w:r>
          </w:p>
        </w:tc>
        <w:tc>
          <w:tcPr>
            <w:tcW w:w="851" w:type="dxa"/>
            <w:hideMark/>
          </w:tcPr>
          <w:p w:rsidR="008149CB" w:rsidRPr="008149CB" w:rsidRDefault="008149CB" w:rsidP="000C297D">
            <w:pPr>
              <w:jc w:val="center"/>
              <w:rPr>
                <w:rFonts w:cstheme="minorHAnsi"/>
                <w:sz w:val="18"/>
                <w:lang w:val="es-CO"/>
              </w:rPr>
            </w:pPr>
            <w:r w:rsidRPr="008149CB">
              <w:rPr>
                <w:rFonts w:cstheme="minorHAnsi"/>
                <w:sz w:val="18"/>
                <w:lang w:val="es-CO"/>
              </w:rPr>
              <w:t>Junio</w:t>
            </w:r>
          </w:p>
        </w:tc>
        <w:tc>
          <w:tcPr>
            <w:tcW w:w="992" w:type="dxa"/>
            <w:hideMark/>
          </w:tcPr>
          <w:p w:rsidR="008149CB" w:rsidRPr="008149CB" w:rsidRDefault="008149CB" w:rsidP="000C297D">
            <w:pPr>
              <w:jc w:val="center"/>
              <w:rPr>
                <w:rFonts w:cstheme="minorHAnsi"/>
                <w:sz w:val="18"/>
                <w:lang w:val="es-CO"/>
              </w:rPr>
            </w:pPr>
            <w:r w:rsidRPr="008149CB">
              <w:rPr>
                <w:rFonts w:cstheme="minorHAnsi"/>
                <w:sz w:val="18"/>
                <w:lang w:val="es-CO"/>
              </w:rPr>
              <w:t>35</w:t>
            </w:r>
          </w:p>
        </w:tc>
      </w:tr>
      <w:tr w:rsidR="008149CB" w:rsidRPr="008149CB" w:rsidTr="009F178F">
        <w:trPr>
          <w:trHeight w:val="300"/>
          <w:jc w:val="center"/>
        </w:trPr>
        <w:tc>
          <w:tcPr>
            <w:tcW w:w="392" w:type="dxa"/>
            <w:hideMark/>
          </w:tcPr>
          <w:p w:rsidR="008149CB" w:rsidRPr="008149CB" w:rsidRDefault="008149CB" w:rsidP="000C297D">
            <w:pPr>
              <w:jc w:val="both"/>
              <w:rPr>
                <w:rFonts w:cstheme="minorHAnsi"/>
                <w:sz w:val="18"/>
                <w:lang w:val="es-CO"/>
              </w:rPr>
            </w:pPr>
            <w:r w:rsidRPr="008149CB">
              <w:rPr>
                <w:rFonts w:cstheme="minorHAnsi"/>
                <w:sz w:val="18"/>
                <w:lang w:val="es-CO"/>
              </w:rPr>
              <w:t>32</w:t>
            </w:r>
          </w:p>
        </w:tc>
        <w:tc>
          <w:tcPr>
            <w:tcW w:w="3827" w:type="dxa"/>
            <w:hideMark/>
          </w:tcPr>
          <w:p w:rsidR="008149CB" w:rsidRPr="008149CB" w:rsidRDefault="008149CB" w:rsidP="000C297D">
            <w:pPr>
              <w:jc w:val="both"/>
              <w:rPr>
                <w:rFonts w:cstheme="minorHAnsi"/>
                <w:sz w:val="18"/>
                <w:lang w:val="es-CO"/>
              </w:rPr>
            </w:pPr>
            <w:r w:rsidRPr="008149CB">
              <w:rPr>
                <w:rFonts w:cstheme="minorHAnsi"/>
                <w:sz w:val="18"/>
                <w:lang w:val="es-CO"/>
              </w:rPr>
              <w:t>Procuraduría Delegada de Víctimas</w:t>
            </w:r>
          </w:p>
        </w:tc>
        <w:tc>
          <w:tcPr>
            <w:tcW w:w="1134" w:type="dxa"/>
            <w:hideMark/>
          </w:tcPr>
          <w:p w:rsidR="008149CB" w:rsidRPr="008149CB" w:rsidRDefault="008149CB" w:rsidP="000C297D">
            <w:pPr>
              <w:jc w:val="center"/>
              <w:rPr>
                <w:rFonts w:cstheme="minorHAnsi"/>
                <w:sz w:val="18"/>
                <w:lang w:val="es-CO"/>
              </w:rPr>
            </w:pPr>
            <w:r w:rsidRPr="008149CB">
              <w:rPr>
                <w:rFonts w:cstheme="minorHAnsi"/>
                <w:sz w:val="18"/>
                <w:lang w:val="es-CO"/>
              </w:rPr>
              <w:t>Presencial</w:t>
            </w:r>
          </w:p>
        </w:tc>
        <w:tc>
          <w:tcPr>
            <w:tcW w:w="992" w:type="dxa"/>
            <w:hideMark/>
          </w:tcPr>
          <w:p w:rsidR="008149CB" w:rsidRPr="008149CB" w:rsidRDefault="008149CB" w:rsidP="000C297D">
            <w:pPr>
              <w:jc w:val="center"/>
              <w:rPr>
                <w:rFonts w:cstheme="minorHAnsi"/>
                <w:sz w:val="18"/>
                <w:lang w:val="es-CO"/>
              </w:rPr>
            </w:pPr>
            <w:r w:rsidRPr="008149CB">
              <w:rPr>
                <w:rFonts w:cstheme="minorHAnsi"/>
                <w:sz w:val="18"/>
                <w:lang w:val="es-CO"/>
              </w:rPr>
              <w:t>Bogotá</w:t>
            </w:r>
          </w:p>
        </w:tc>
        <w:tc>
          <w:tcPr>
            <w:tcW w:w="851" w:type="dxa"/>
            <w:hideMark/>
          </w:tcPr>
          <w:p w:rsidR="008149CB" w:rsidRPr="008149CB" w:rsidRDefault="008149CB" w:rsidP="000C297D">
            <w:pPr>
              <w:jc w:val="center"/>
              <w:rPr>
                <w:rFonts w:cstheme="minorHAnsi"/>
                <w:sz w:val="18"/>
                <w:lang w:val="es-CO"/>
              </w:rPr>
            </w:pPr>
            <w:r w:rsidRPr="008149CB">
              <w:rPr>
                <w:rFonts w:cstheme="minorHAnsi"/>
                <w:sz w:val="18"/>
                <w:lang w:val="es-CO"/>
              </w:rPr>
              <w:t>Junio</w:t>
            </w:r>
          </w:p>
        </w:tc>
        <w:tc>
          <w:tcPr>
            <w:tcW w:w="992" w:type="dxa"/>
            <w:hideMark/>
          </w:tcPr>
          <w:p w:rsidR="008149CB" w:rsidRPr="008149CB" w:rsidRDefault="008149CB" w:rsidP="000C297D">
            <w:pPr>
              <w:jc w:val="center"/>
              <w:rPr>
                <w:rFonts w:cstheme="minorHAnsi"/>
                <w:sz w:val="18"/>
                <w:lang w:val="es-CO"/>
              </w:rPr>
            </w:pPr>
            <w:r w:rsidRPr="008149CB">
              <w:rPr>
                <w:rFonts w:cstheme="minorHAnsi"/>
                <w:sz w:val="18"/>
                <w:lang w:val="es-CO"/>
              </w:rPr>
              <w:t>18</w:t>
            </w:r>
          </w:p>
        </w:tc>
      </w:tr>
      <w:tr w:rsidR="008149CB" w:rsidRPr="008149CB" w:rsidTr="009F178F">
        <w:trPr>
          <w:trHeight w:val="300"/>
          <w:jc w:val="center"/>
        </w:trPr>
        <w:tc>
          <w:tcPr>
            <w:tcW w:w="7196" w:type="dxa"/>
            <w:gridSpan w:val="5"/>
          </w:tcPr>
          <w:p w:rsidR="008149CB" w:rsidRPr="008149CB" w:rsidRDefault="008149CB" w:rsidP="000C297D">
            <w:pPr>
              <w:jc w:val="center"/>
              <w:rPr>
                <w:rFonts w:cstheme="minorHAnsi"/>
                <w:sz w:val="18"/>
                <w:lang w:val="es-CO"/>
              </w:rPr>
            </w:pPr>
            <w:r w:rsidRPr="008149CB">
              <w:rPr>
                <w:rFonts w:cstheme="minorHAnsi"/>
                <w:b/>
                <w:sz w:val="18"/>
                <w:lang w:val="es-CO"/>
              </w:rPr>
              <w:t>TOTAL</w:t>
            </w:r>
          </w:p>
        </w:tc>
        <w:tc>
          <w:tcPr>
            <w:tcW w:w="992" w:type="dxa"/>
          </w:tcPr>
          <w:p w:rsidR="008149CB" w:rsidRPr="008149CB" w:rsidRDefault="008149CB" w:rsidP="000C297D">
            <w:pPr>
              <w:jc w:val="both"/>
              <w:rPr>
                <w:rFonts w:cstheme="minorHAnsi"/>
                <w:b/>
                <w:lang w:val="es-CO"/>
              </w:rPr>
            </w:pPr>
            <w:r w:rsidRPr="008149CB">
              <w:rPr>
                <w:rFonts w:cstheme="minorHAnsi"/>
                <w:b/>
                <w:lang w:val="es-CO"/>
              </w:rPr>
              <w:t>3.345</w:t>
            </w:r>
          </w:p>
        </w:tc>
      </w:tr>
    </w:tbl>
    <w:p w:rsidR="008149CB" w:rsidRPr="008149CB" w:rsidRDefault="008149CB" w:rsidP="008149CB">
      <w:pPr>
        <w:widowControl w:val="0"/>
        <w:jc w:val="center"/>
        <w:rPr>
          <w:rFonts w:cstheme="minorHAnsi"/>
          <w:sz w:val="16"/>
          <w:szCs w:val="20"/>
          <w:lang w:val="es-CO"/>
        </w:rPr>
      </w:pPr>
      <w:r w:rsidRPr="008149CB">
        <w:rPr>
          <w:rFonts w:cstheme="minorHAnsi"/>
          <w:sz w:val="16"/>
          <w:szCs w:val="20"/>
          <w:lang w:val="es-CO"/>
        </w:rPr>
        <w:t>Fuente: Grupo de Transparencia y del Derecho de Acceso a la Información Pública – PGN.</w:t>
      </w:r>
    </w:p>
    <w:p w:rsidR="008149CB" w:rsidRDefault="008149CB" w:rsidP="008149CB">
      <w:pPr>
        <w:widowControl w:val="0"/>
        <w:jc w:val="center"/>
        <w:rPr>
          <w:rFonts w:cstheme="minorHAnsi"/>
          <w:sz w:val="16"/>
          <w:szCs w:val="20"/>
          <w:lang w:val="es-CO"/>
        </w:rPr>
      </w:pPr>
    </w:p>
    <w:p w:rsidR="00163B10" w:rsidRDefault="00163B10" w:rsidP="008149CB">
      <w:pPr>
        <w:widowControl w:val="0"/>
        <w:jc w:val="center"/>
        <w:rPr>
          <w:rFonts w:cstheme="minorHAnsi"/>
          <w:sz w:val="16"/>
          <w:szCs w:val="20"/>
          <w:lang w:val="es-CO"/>
        </w:rPr>
      </w:pPr>
    </w:p>
    <w:p w:rsidR="008149CB" w:rsidRPr="008149CB" w:rsidRDefault="008149CB" w:rsidP="008149CB">
      <w:pPr>
        <w:jc w:val="both"/>
        <w:rPr>
          <w:rFonts w:cstheme="minorHAnsi"/>
          <w:lang w:val="es-CO"/>
        </w:rPr>
      </w:pPr>
      <w:r w:rsidRPr="008149CB">
        <w:rPr>
          <w:rFonts w:cstheme="minorHAnsi"/>
          <w:lang w:val="es-CO"/>
        </w:rPr>
        <w:lastRenderedPageBreak/>
        <w:t>Las capacitaciones y los eventos de promoción de la Ley 1712 de 2014 durante 2016, por motivos presupuestales, se realizaron primordialmente en la ciudad de Bogotá DC. En esta vigencia no ha resultado posible, a pesar de las solicitudes recibidas, realizar algún tipo de desplazamiento a otras ciudades, por lo que los esfuerzos tanto en visitas de vigilancia presenciales como en eventos de capacitación y promoción han estado concentrados en Bogotá DC.</w:t>
      </w:r>
    </w:p>
    <w:p w:rsidR="008149CB" w:rsidRPr="008149CB" w:rsidRDefault="008149CB" w:rsidP="008149CB">
      <w:pPr>
        <w:jc w:val="both"/>
        <w:rPr>
          <w:rFonts w:cstheme="minorHAnsi"/>
          <w:lang w:val="es-CO"/>
        </w:rPr>
      </w:pPr>
    </w:p>
    <w:p w:rsidR="008149CB" w:rsidRPr="008149CB" w:rsidRDefault="008149CB" w:rsidP="008149CB">
      <w:pPr>
        <w:jc w:val="both"/>
        <w:rPr>
          <w:rFonts w:cstheme="minorHAnsi"/>
          <w:lang w:val="es-CO"/>
        </w:rPr>
      </w:pPr>
      <w:r w:rsidRPr="008149CB">
        <w:rPr>
          <w:rFonts w:cstheme="minorHAnsi"/>
          <w:lang w:val="es-CO"/>
        </w:rPr>
        <w:t>Solamente fueron programadas capacitaciones fuera de la ciudad de Bogotá en 5 ocasiones: 1 capacitación virtual con las procuradurías del departamento de Antioquia, 1 realizada por la Procuraduría Regional de Risaralda en la ciudad de Pereira, 1 en el municipio de Mosquera y 2 jornadas adicionales que tuvieron lugar en Neiva con la alcaldía de esta ciudad y la gobernación del departamento del Huila.</w:t>
      </w:r>
    </w:p>
    <w:p w:rsidR="008149CB" w:rsidRPr="008149CB" w:rsidRDefault="008149CB" w:rsidP="008149CB">
      <w:pPr>
        <w:jc w:val="both"/>
        <w:rPr>
          <w:rFonts w:cstheme="minorHAnsi"/>
          <w:lang w:val="es-CO"/>
        </w:rPr>
      </w:pPr>
    </w:p>
    <w:p w:rsidR="008149CB" w:rsidRPr="008149CB" w:rsidRDefault="008149CB" w:rsidP="008149CB">
      <w:pPr>
        <w:jc w:val="both"/>
        <w:rPr>
          <w:rFonts w:cstheme="minorHAnsi"/>
          <w:lang w:val="es-CO"/>
        </w:rPr>
      </w:pPr>
      <w:r w:rsidRPr="008149CB">
        <w:rPr>
          <w:rFonts w:cstheme="minorHAnsi"/>
          <w:lang w:val="es-CO"/>
        </w:rPr>
        <w:t>Se destaca en este primer semestre, el trabajo realizado con el Ejército Nacional de Colombia. Con esta institución pública se realizaron varias jornadas de capacitación y sesiones de acompañamiento y vigilancia del cumplimiento de la Ley 1712 de 2014. Durante las jornadas de capacitación se contó con la presencia de 39 dependencias administrativas del Ejército Nacional. De igual forma, se dieron otras 5 jornadas de capacitación en las cuales se logró la presencia de las principales cabezas de dicha institución. En el marco de este trabajo fueron realizadas un total de 22 capacitaciones y se capacitaron 2.566 miembros del Ejército Nacional.</w:t>
      </w:r>
    </w:p>
    <w:p w:rsidR="008149CB" w:rsidRPr="008149CB" w:rsidRDefault="008149CB" w:rsidP="008149CB">
      <w:pPr>
        <w:jc w:val="both"/>
        <w:rPr>
          <w:rFonts w:cstheme="minorHAnsi"/>
          <w:lang w:val="es-CO"/>
        </w:rPr>
      </w:pPr>
    </w:p>
    <w:p w:rsidR="008149CB" w:rsidRPr="008149CB" w:rsidRDefault="008149CB" w:rsidP="008149CB">
      <w:pPr>
        <w:jc w:val="both"/>
        <w:rPr>
          <w:rFonts w:cstheme="minorHAnsi"/>
          <w:lang w:val="es-CO"/>
        </w:rPr>
      </w:pPr>
      <w:r w:rsidRPr="008149CB">
        <w:rPr>
          <w:rFonts w:cstheme="minorHAnsi"/>
          <w:lang w:val="es-CO"/>
        </w:rPr>
        <w:t>De otra parte, dado que los principales esfuerzos del Grupo de Transparencia y del Derecho de Acceso a la Información Pública en materia de vigilancia, está enfocado en las visitas especiales en las entidades del Distrito Capital, una buena parte de las capacitaciones tuvo lugar en las mismas instituciones. En total se capacitaron 5 entidades distritales y se tuvo la asistencia de 301 servidores públicos y contratistas.</w:t>
      </w:r>
    </w:p>
    <w:p w:rsidR="008149CB" w:rsidRDefault="008149CB" w:rsidP="008149CB">
      <w:pPr>
        <w:jc w:val="both"/>
        <w:rPr>
          <w:rFonts w:cstheme="minorHAnsi"/>
          <w:lang w:val="es-CO"/>
        </w:rPr>
      </w:pPr>
    </w:p>
    <w:p w:rsidR="008149CB" w:rsidRPr="008149CB" w:rsidRDefault="008149CB" w:rsidP="008149CB">
      <w:pPr>
        <w:jc w:val="both"/>
        <w:rPr>
          <w:rFonts w:cstheme="minorHAnsi"/>
          <w:lang w:val="es-CO"/>
        </w:rPr>
      </w:pPr>
      <w:r w:rsidRPr="008149CB">
        <w:rPr>
          <w:rFonts w:cstheme="minorHAnsi"/>
          <w:lang w:val="es-CO"/>
        </w:rPr>
        <w:t xml:space="preserve">Como actividades de promoción, se destaca la participación del Grupo en tres eventos: </w:t>
      </w:r>
    </w:p>
    <w:p w:rsidR="008149CB" w:rsidRDefault="008149CB" w:rsidP="008149CB">
      <w:pPr>
        <w:jc w:val="both"/>
        <w:rPr>
          <w:rFonts w:cstheme="minorHAnsi"/>
          <w:lang w:val="es-CO"/>
        </w:rPr>
      </w:pPr>
    </w:p>
    <w:p w:rsidR="008149CB" w:rsidRPr="009F178F" w:rsidRDefault="008149CB" w:rsidP="008149CB">
      <w:pPr>
        <w:pStyle w:val="Prrafodelista"/>
        <w:numPr>
          <w:ilvl w:val="0"/>
          <w:numId w:val="18"/>
        </w:numPr>
        <w:spacing w:line="276" w:lineRule="auto"/>
        <w:contextualSpacing w:val="0"/>
        <w:jc w:val="both"/>
        <w:rPr>
          <w:rFonts w:ascii="Garamond" w:hAnsi="Garamond" w:cstheme="minorHAnsi"/>
          <w:sz w:val="22"/>
        </w:rPr>
      </w:pPr>
      <w:r w:rsidRPr="009F178F">
        <w:rPr>
          <w:rFonts w:ascii="Garamond" w:hAnsi="Garamond" w:cstheme="minorHAnsi"/>
          <w:sz w:val="22"/>
        </w:rPr>
        <w:t>Conversatorio en el mes de abril sobre protección de datos personales y derecho de acceso a la información pública, organizado por el Programa Nacional del Servicio al Ciudadano del Departamento Nacional de Planeación en la ciudad de Bogotá DC.</w:t>
      </w:r>
    </w:p>
    <w:p w:rsidR="008149CB" w:rsidRPr="009F178F" w:rsidRDefault="008149CB" w:rsidP="008149CB">
      <w:pPr>
        <w:pStyle w:val="Prrafodelista"/>
        <w:numPr>
          <w:ilvl w:val="0"/>
          <w:numId w:val="18"/>
        </w:numPr>
        <w:spacing w:line="276" w:lineRule="auto"/>
        <w:contextualSpacing w:val="0"/>
        <w:jc w:val="both"/>
        <w:rPr>
          <w:rFonts w:ascii="Garamond" w:hAnsi="Garamond" w:cstheme="minorHAnsi"/>
          <w:sz w:val="22"/>
        </w:rPr>
      </w:pPr>
      <w:r w:rsidRPr="009F178F">
        <w:rPr>
          <w:rFonts w:ascii="Garamond" w:hAnsi="Garamond" w:cstheme="minorHAnsi"/>
          <w:sz w:val="22"/>
        </w:rPr>
        <w:t xml:space="preserve">Seminario regional de la Red de Transparencia y Acceso a Información RTA - Colombia: La Política Pública de Acceso a la Información y Transparencia. </w:t>
      </w:r>
    </w:p>
    <w:p w:rsidR="008149CB" w:rsidRPr="009F178F" w:rsidRDefault="008149CB" w:rsidP="008149CB">
      <w:pPr>
        <w:pStyle w:val="Prrafodelista"/>
        <w:numPr>
          <w:ilvl w:val="0"/>
          <w:numId w:val="18"/>
        </w:numPr>
        <w:spacing w:line="276" w:lineRule="auto"/>
        <w:contextualSpacing w:val="0"/>
        <w:jc w:val="both"/>
        <w:rPr>
          <w:rFonts w:ascii="Garamond" w:hAnsi="Garamond" w:cstheme="minorHAnsi"/>
          <w:sz w:val="22"/>
        </w:rPr>
      </w:pPr>
      <w:r w:rsidRPr="009F178F">
        <w:rPr>
          <w:rFonts w:ascii="Garamond" w:hAnsi="Garamond" w:cstheme="minorHAnsi"/>
          <w:sz w:val="22"/>
        </w:rPr>
        <w:t>Taller regional de la Red de Transparencia y Acceso a Información RTA - Colombia: La Política Pública de Acceso a la Información y Transparencia.</w:t>
      </w:r>
    </w:p>
    <w:p w:rsidR="008149CB" w:rsidRDefault="008149CB" w:rsidP="008149CB">
      <w:pPr>
        <w:jc w:val="both"/>
        <w:rPr>
          <w:rFonts w:cstheme="minorHAnsi"/>
          <w:lang w:val="es-CO"/>
        </w:rPr>
      </w:pPr>
    </w:p>
    <w:p w:rsidR="008149CB" w:rsidRPr="008149CB" w:rsidRDefault="008149CB" w:rsidP="008149CB">
      <w:pPr>
        <w:jc w:val="both"/>
        <w:rPr>
          <w:rFonts w:cstheme="minorHAnsi"/>
          <w:lang w:val="es-CO"/>
        </w:rPr>
      </w:pPr>
      <w:r w:rsidRPr="008149CB">
        <w:rPr>
          <w:rFonts w:cstheme="minorHAnsi"/>
          <w:lang w:val="es-CO"/>
        </w:rPr>
        <w:t xml:space="preserve">El primero de estos eventos fue organizado por el Programa Nacional de Servicio al ciudadano del DNP y contó con la participación del Grupo de Transparencia y del Derecho de Acceso a Información Pública de la Procuraduría, la </w:t>
      </w:r>
      <w:proofErr w:type="spellStart"/>
      <w:r w:rsidRPr="008149CB">
        <w:rPr>
          <w:rFonts w:cstheme="minorHAnsi"/>
          <w:lang w:val="es-CO"/>
        </w:rPr>
        <w:t>Delegatura</w:t>
      </w:r>
      <w:proofErr w:type="spellEnd"/>
      <w:r w:rsidRPr="008149CB">
        <w:rPr>
          <w:rFonts w:cstheme="minorHAnsi"/>
          <w:lang w:val="es-CO"/>
        </w:rPr>
        <w:t xml:space="preserve"> de Protección de Datos Personales de la Superintendencia de Industria y Comercio y la Secretaría de Transparencia de la Presidencia de la República. A este conversatorio se convocó entidades de orden nacional que querían solucionar dudas acerca de la relación existente entre el acceso a la información pública y la protección de datos personales.</w:t>
      </w:r>
    </w:p>
    <w:p w:rsidR="008149CB" w:rsidRDefault="008149CB" w:rsidP="008149CB">
      <w:pPr>
        <w:jc w:val="both"/>
        <w:rPr>
          <w:rFonts w:cstheme="minorHAnsi"/>
          <w:lang w:val="es-CO"/>
        </w:rPr>
      </w:pPr>
      <w:r w:rsidRPr="008149CB">
        <w:rPr>
          <w:rFonts w:cstheme="minorHAnsi"/>
          <w:lang w:val="es-CO"/>
        </w:rPr>
        <w:t xml:space="preserve">   </w:t>
      </w:r>
    </w:p>
    <w:p w:rsidR="008149CB" w:rsidRPr="008149CB" w:rsidRDefault="008149CB" w:rsidP="008149CB">
      <w:pPr>
        <w:jc w:val="both"/>
        <w:rPr>
          <w:rFonts w:cstheme="minorHAnsi"/>
          <w:lang w:val="es-CO"/>
        </w:rPr>
      </w:pPr>
      <w:r w:rsidRPr="008149CB">
        <w:rPr>
          <w:rFonts w:cstheme="minorHAnsi"/>
          <w:lang w:val="es-CO"/>
        </w:rPr>
        <w:t>El seminario y taller regional fueron organizados y coordinados junto con la Secretaría de Transparencia de la Presidencia y las instituciones que hacen parte de la RTA, particularmente con la Relatoría Especial para la Libertad Especial de Expresión de la CIDH y la Unidad de Acceso a la Información Pública de la AGESIC de Uruguay. Al final de los eventos, se tuvo la asistencia de 283 personas, en su mayoría servidores públicos y en un menor número miembros de organizaciones de la sociedad civil.</w:t>
      </w:r>
    </w:p>
    <w:p w:rsidR="008149CB" w:rsidRPr="008149CB" w:rsidRDefault="008149CB" w:rsidP="008149CB">
      <w:pPr>
        <w:jc w:val="both"/>
        <w:rPr>
          <w:rFonts w:cstheme="minorHAnsi"/>
          <w:lang w:val="es-CO"/>
        </w:rPr>
      </w:pPr>
    </w:p>
    <w:p w:rsidR="008149CB" w:rsidRPr="008149CB" w:rsidRDefault="008149CB" w:rsidP="008149CB">
      <w:pPr>
        <w:jc w:val="both"/>
        <w:rPr>
          <w:rFonts w:cstheme="minorHAnsi"/>
          <w:lang w:val="es-CO"/>
        </w:rPr>
      </w:pPr>
      <w:r w:rsidRPr="008149CB">
        <w:rPr>
          <w:rFonts w:cstheme="minorHAnsi"/>
          <w:lang w:val="es-CO"/>
        </w:rPr>
        <w:t>Otra actividad de promoción a resaltar, como estrategia de despliegue territorial, es la distribución de cartillas y plegables, elaborados por el Grupo de Transparencia, entre las Procuraduría Regionales y Provinciales para que sean allegadas a sujetos obligados de cada jurisdicción tanto públicos como privados y ciudadanos en general. En total se distribuyeron 33.240 cartillas y 441.000 plegables.</w:t>
      </w:r>
    </w:p>
    <w:p w:rsidR="008149CB" w:rsidRDefault="008149CB" w:rsidP="008149CB">
      <w:pPr>
        <w:jc w:val="both"/>
        <w:rPr>
          <w:rFonts w:cstheme="minorHAnsi"/>
          <w:b/>
          <w:lang w:val="es-CO"/>
        </w:rPr>
      </w:pPr>
    </w:p>
    <w:p w:rsidR="009F178F" w:rsidRDefault="009F178F" w:rsidP="008149CB">
      <w:pPr>
        <w:jc w:val="both"/>
        <w:rPr>
          <w:rFonts w:cstheme="minorHAnsi"/>
          <w:b/>
          <w:lang w:val="es-CO"/>
        </w:rPr>
      </w:pPr>
    </w:p>
    <w:p w:rsidR="009F178F" w:rsidRDefault="009F178F" w:rsidP="008149CB">
      <w:pPr>
        <w:jc w:val="both"/>
        <w:rPr>
          <w:rFonts w:cstheme="minorHAnsi"/>
          <w:b/>
          <w:lang w:val="es-CO"/>
        </w:rPr>
      </w:pPr>
    </w:p>
    <w:p w:rsidR="009F178F" w:rsidRDefault="009F178F" w:rsidP="008149CB">
      <w:pPr>
        <w:jc w:val="both"/>
        <w:rPr>
          <w:rFonts w:cstheme="minorHAnsi"/>
          <w:b/>
          <w:lang w:val="es-CO"/>
        </w:rPr>
      </w:pPr>
    </w:p>
    <w:p w:rsidR="008149CB" w:rsidRPr="008149CB" w:rsidRDefault="008149CB" w:rsidP="008149CB">
      <w:pPr>
        <w:jc w:val="both"/>
        <w:rPr>
          <w:rFonts w:cstheme="minorHAnsi"/>
          <w:b/>
          <w:lang w:val="es-CO"/>
        </w:rPr>
      </w:pPr>
      <w:r w:rsidRPr="008149CB">
        <w:rPr>
          <w:rFonts w:cstheme="minorHAnsi"/>
          <w:b/>
          <w:lang w:val="es-CO"/>
        </w:rPr>
        <w:lastRenderedPageBreak/>
        <w:t xml:space="preserve">Cartillas </w:t>
      </w:r>
    </w:p>
    <w:p w:rsidR="008149CB" w:rsidRPr="008149CB" w:rsidRDefault="008149CB" w:rsidP="008149CB">
      <w:pPr>
        <w:jc w:val="both"/>
        <w:rPr>
          <w:rFonts w:cstheme="minorHAnsi"/>
          <w:lang w:val="es-CO"/>
        </w:rPr>
      </w:pPr>
      <w:r w:rsidRPr="008149CB">
        <w:rPr>
          <w:rFonts w:cstheme="minorHAnsi"/>
          <w:lang w:val="es-CO"/>
        </w:rPr>
        <w:t>1) ABC del acceso a la información pública - 11.080 unidades.</w:t>
      </w:r>
    </w:p>
    <w:p w:rsidR="008149CB" w:rsidRPr="008149CB" w:rsidRDefault="008149CB" w:rsidP="008149CB">
      <w:pPr>
        <w:jc w:val="both"/>
        <w:rPr>
          <w:rFonts w:cstheme="minorHAnsi"/>
          <w:lang w:val="es-CO"/>
        </w:rPr>
      </w:pPr>
      <w:r w:rsidRPr="008149CB">
        <w:rPr>
          <w:rFonts w:cstheme="minorHAnsi"/>
          <w:lang w:val="es-CO"/>
        </w:rPr>
        <w:t>2) Transparencia Activa: ABC de la divulgación de información pública - 11.080 unidades.</w:t>
      </w:r>
    </w:p>
    <w:p w:rsidR="008149CB" w:rsidRPr="008149CB" w:rsidRDefault="008149CB" w:rsidP="008149CB">
      <w:pPr>
        <w:jc w:val="both"/>
        <w:rPr>
          <w:rFonts w:cstheme="minorHAnsi"/>
          <w:lang w:val="es-CO"/>
        </w:rPr>
      </w:pPr>
      <w:r w:rsidRPr="008149CB">
        <w:rPr>
          <w:rFonts w:cstheme="minorHAnsi"/>
          <w:lang w:val="es-CO"/>
        </w:rPr>
        <w:t>3) Transparencia Pasiva: ABC para solicitar información pública - 11.080 unidades.</w:t>
      </w:r>
    </w:p>
    <w:p w:rsidR="008149CB" w:rsidRPr="008149CB" w:rsidRDefault="008149CB" w:rsidP="008149CB">
      <w:pPr>
        <w:jc w:val="both"/>
        <w:rPr>
          <w:rFonts w:cstheme="minorHAnsi"/>
          <w:b/>
          <w:lang w:val="es-CO"/>
        </w:rPr>
      </w:pPr>
    </w:p>
    <w:p w:rsidR="008149CB" w:rsidRPr="008149CB" w:rsidRDefault="008149CB" w:rsidP="008149CB">
      <w:pPr>
        <w:jc w:val="both"/>
        <w:rPr>
          <w:rFonts w:cstheme="minorHAnsi"/>
          <w:b/>
          <w:lang w:val="es-CO"/>
        </w:rPr>
      </w:pPr>
      <w:r w:rsidRPr="008149CB">
        <w:rPr>
          <w:rFonts w:cstheme="minorHAnsi"/>
          <w:b/>
          <w:lang w:val="es-CO"/>
        </w:rPr>
        <w:t>Plegables:</w:t>
      </w:r>
    </w:p>
    <w:p w:rsidR="008149CB" w:rsidRPr="008149CB" w:rsidRDefault="008149CB" w:rsidP="008149CB">
      <w:pPr>
        <w:jc w:val="both"/>
        <w:rPr>
          <w:rFonts w:cstheme="minorHAnsi"/>
          <w:lang w:val="es-CO"/>
        </w:rPr>
      </w:pPr>
      <w:r w:rsidRPr="008149CB">
        <w:rPr>
          <w:rFonts w:cstheme="minorHAnsi"/>
          <w:lang w:val="es-CO"/>
        </w:rPr>
        <w:t>1)  ¿Qué es el derecho de acceso a información pública y para qué me sirve? – 88.200 unidades.</w:t>
      </w:r>
    </w:p>
    <w:p w:rsidR="008149CB" w:rsidRPr="008149CB" w:rsidRDefault="008149CB" w:rsidP="008149CB">
      <w:pPr>
        <w:jc w:val="both"/>
        <w:rPr>
          <w:rFonts w:cstheme="minorHAnsi"/>
          <w:lang w:val="es-CO"/>
        </w:rPr>
      </w:pPr>
      <w:r w:rsidRPr="008149CB">
        <w:rPr>
          <w:rFonts w:cstheme="minorHAnsi"/>
          <w:lang w:val="es-CO"/>
        </w:rPr>
        <w:t>2) Transparencia pasiva: ¿cómo hacer una solicitud de información pública? – 88.200 unidades.</w:t>
      </w:r>
    </w:p>
    <w:p w:rsidR="008149CB" w:rsidRPr="008149CB" w:rsidRDefault="008149CB" w:rsidP="008149CB">
      <w:pPr>
        <w:jc w:val="both"/>
        <w:rPr>
          <w:rFonts w:cstheme="minorHAnsi"/>
          <w:lang w:val="es-CO"/>
        </w:rPr>
      </w:pPr>
      <w:r w:rsidRPr="008149CB">
        <w:rPr>
          <w:rFonts w:cstheme="minorHAnsi"/>
          <w:lang w:val="es-CO"/>
        </w:rPr>
        <w:t>3) ¿Cómo me puede ayudar la Procuraduría a ejercer mi derecho de acceso a información pública? – 88.200 unidades.</w:t>
      </w:r>
    </w:p>
    <w:p w:rsidR="008149CB" w:rsidRPr="008149CB" w:rsidRDefault="008149CB" w:rsidP="008149CB">
      <w:pPr>
        <w:jc w:val="both"/>
        <w:rPr>
          <w:rFonts w:cstheme="minorHAnsi"/>
          <w:lang w:val="es-CO"/>
        </w:rPr>
      </w:pPr>
      <w:r w:rsidRPr="008149CB">
        <w:rPr>
          <w:rFonts w:cstheme="minorHAnsi"/>
          <w:lang w:val="es-CO"/>
        </w:rPr>
        <w:t>4) Transparencia activa: ¿Qué información pública encuentro en internet? – 88.200 unidades.</w:t>
      </w:r>
    </w:p>
    <w:p w:rsidR="008149CB" w:rsidRPr="008149CB" w:rsidRDefault="008149CB" w:rsidP="008149CB">
      <w:pPr>
        <w:jc w:val="both"/>
        <w:rPr>
          <w:rFonts w:cstheme="minorHAnsi"/>
          <w:lang w:val="es-CO"/>
        </w:rPr>
      </w:pPr>
      <w:r w:rsidRPr="008149CB">
        <w:rPr>
          <w:rFonts w:cstheme="minorHAnsi"/>
          <w:lang w:val="es-CO"/>
        </w:rPr>
        <w:t>5) ¿Cómo doy respuesta a una solicitud de información? – 88.200 unidades.</w:t>
      </w:r>
    </w:p>
    <w:p w:rsidR="008149CB" w:rsidRPr="008149CB" w:rsidRDefault="008149CB" w:rsidP="008149CB">
      <w:pPr>
        <w:jc w:val="both"/>
        <w:rPr>
          <w:rFonts w:cstheme="minorHAnsi"/>
          <w:lang w:val="es-CO"/>
        </w:rPr>
      </w:pPr>
    </w:p>
    <w:p w:rsidR="008149CB" w:rsidRPr="008149CB" w:rsidRDefault="008149CB" w:rsidP="008149CB">
      <w:pPr>
        <w:jc w:val="both"/>
        <w:rPr>
          <w:rFonts w:cstheme="minorHAnsi"/>
          <w:lang w:val="es-CO"/>
        </w:rPr>
      </w:pPr>
      <w:r w:rsidRPr="008149CB">
        <w:rPr>
          <w:rFonts w:cstheme="minorHAnsi"/>
          <w:lang w:val="es-CO"/>
        </w:rPr>
        <w:t>Por último, es preciso señalar la participación que ha tenido el Grupo de Transparencia en lo que va del proyecto de construcción de una estrategia de capacitación, contratado por el proyecto ACTUE de la Unión Europea. En el marco de este proyecto se quiere elaborar una estrategia, que desde una perspectiva complementaria, tenga en cuenta las capacidades y la oferta institucional tanto del Ministerio Público como de las entidades líderes de política pública de transparencia y acceso a información.</w:t>
      </w:r>
    </w:p>
    <w:p w:rsidR="008149CB" w:rsidRPr="008149CB" w:rsidRDefault="008149CB" w:rsidP="008149CB">
      <w:pPr>
        <w:jc w:val="both"/>
        <w:rPr>
          <w:rFonts w:cstheme="minorHAnsi"/>
          <w:lang w:val="es-CO"/>
        </w:rPr>
      </w:pPr>
    </w:p>
    <w:p w:rsidR="008149CB" w:rsidRPr="008149CB" w:rsidRDefault="008149CB" w:rsidP="008149CB">
      <w:pPr>
        <w:jc w:val="both"/>
        <w:rPr>
          <w:rFonts w:cstheme="minorHAnsi"/>
          <w:lang w:val="es-CO"/>
        </w:rPr>
      </w:pPr>
    </w:p>
    <w:p w:rsidR="007D1AFD" w:rsidRPr="007D1AFD" w:rsidRDefault="007D1AFD" w:rsidP="007D1AFD">
      <w:pPr>
        <w:pStyle w:val="Prrafodelista"/>
        <w:numPr>
          <w:ilvl w:val="0"/>
          <w:numId w:val="16"/>
        </w:numPr>
        <w:spacing w:line="276" w:lineRule="auto"/>
        <w:jc w:val="both"/>
        <w:rPr>
          <w:rFonts w:ascii="Garamond" w:hAnsi="Garamond" w:cstheme="minorHAnsi"/>
          <w:b/>
          <w:sz w:val="22"/>
          <w:szCs w:val="22"/>
        </w:rPr>
      </w:pPr>
      <w:r w:rsidRPr="007D1AFD">
        <w:rPr>
          <w:rFonts w:ascii="Garamond" w:hAnsi="Garamond" w:cstheme="minorHAnsi"/>
          <w:b/>
          <w:sz w:val="22"/>
          <w:szCs w:val="22"/>
          <w:lang w:val="es-ES"/>
        </w:rPr>
        <w:t>VIGILANCIA Y SEGUIMIENTO</w:t>
      </w:r>
      <w:r w:rsidRPr="007D1AFD">
        <w:rPr>
          <w:rFonts w:ascii="Garamond" w:hAnsi="Garamond" w:cstheme="minorHAnsi"/>
          <w:b/>
          <w:sz w:val="22"/>
          <w:szCs w:val="22"/>
        </w:rPr>
        <w:t xml:space="preserve"> </w:t>
      </w:r>
    </w:p>
    <w:p w:rsidR="008149CB" w:rsidRDefault="008149CB" w:rsidP="008149CB">
      <w:pPr>
        <w:jc w:val="both"/>
        <w:rPr>
          <w:rFonts w:cstheme="minorHAnsi"/>
          <w:lang w:val="es-CO"/>
        </w:rPr>
      </w:pPr>
    </w:p>
    <w:p w:rsidR="000E3232" w:rsidRDefault="00A36D07" w:rsidP="00A36D07">
      <w:pPr>
        <w:jc w:val="both"/>
        <w:rPr>
          <w:rFonts w:cstheme="minorHAnsi"/>
          <w:lang w:val="es-CO"/>
        </w:rPr>
      </w:pPr>
      <w:r>
        <w:rPr>
          <w:rFonts w:cstheme="minorHAnsi"/>
          <w:lang w:val="es-CO"/>
        </w:rPr>
        <w:t>La vigilancia y seguimiento en el cumplimiento de las disposiciones de las normativas de transparencia y acceso a la información pública se ha realizado a través de Visitas Especiales a sujetos obligados y por medi</w:t>
      </w:r>
      <w:r w:rsidR="000E3232">
        <w:rPr>
          <w:rFonts w:cstheme="minorHAnsi"/>
          <w:lang w:val="es-CO"/>
        </w:rPr>
        <w:t xml:space="preserve">o de la revisión de información </w:t>
      </w:r>
      <w:r>
        <w:rPr>
          <w:rFonts w:cstheme="minorHAnsi"/>
          <w:lang w:val="es-CO"/>
        </w:rPr>
        <w:t xml:space="preserve">recolectada de </w:t>
      </w:r>
      <w:r w:rsidR="000E3232">
        <w:rPr>
          <w:rFonts w:cstheme="minorHAnsi"/>
          <w:lang w:val="es-CO"/>
        </w:rPr>
        <w:t xml:space="preserve">a través de </w:t>
      </w:r>
      <w:r>
        <w:rPr>
          <w:rFonts w:cstheme="minorHAnsi"/>
          <w:lang w:val="es-CO"/>
        </w:rPr>
        <w:t xml:space="preserve">los diferentes sistemas de información del Estado </w:t>
      </w:r>
      <w:r w:rsidR="000E3232">
        <w:rPr>
          <w:rFonts w:cstheme="minorHAnsi"/>
          <w:lang w:val="es-CO"/>
        </w:rPr>
        <w:t xml:space="preserve">que </w:t>
      </w:r>
      <w:r>
        <w:rPr>
          <w:rFonts w:cstheme="minorHAnsi"/>
          <w:lang w:val="es-CO"/>
        </w:rPr>
        <w:t>monitore</w:t>
      </w:r>
      <w:r w:rsidR="000E3232">
        <w:rPr>
          <w:rFonts w:cstheme="minorHAnsi"/>
          <w:lang w:val="es-CO"/>
        </w:rPr>
        <w:t>an</w:t>
      </w:r>
      <w:r>
        <w:rPr>
          <w:rFonts w:cstheme="minorHAnsi"/>
          <w:lang w:val="es-CO"/>
        </w:rPr>
        <w:t xml:space="preserve"> de la implementación de las políticas públicas </w:t>
      </w:r>
      <w:r w:rsidR="000E3232">
        <w:rPr>
          <w:rFonts w:cstheme="minorHAnsi"/>
          <w:lang w:val="es-CO"/>
        </w:rPr>
        <w:t xml:space="preserve">de transparencia y </w:t>
      </w:r>
      <w:r>
        <w:rPr>
          <w:rFonts w:cstheme="minorHAnsi"/>
          <w:lang w:val="es-CO"/>
        </w:rPr>
        <w:t>relaci</w:t>
      </w:r>
      <w:r w:rsidR="000E3232">
        <w:rPr>
          <w:rFonts w:cstheme="minorHAnsi"/>
          <w:lang w:val="es-CO"/>
        </w:rPr>
        <w:t>onadas, como política anticorrupción, archivos, participación ciudadana</w:t>
      </w:r>
      <w:r w:rsidRPr="00A36D07">
        <w:rPr>
          <w:lang w:val="es-CO"/>
        </w:rPr>
        <w:t xml:space="preserve">, entre otras. </w:t>
      </w:r>
      <w:r w:rsidR="000E3232">
        <w:rPr>
          <w:lang w:val="es-CO"/>
        </w:rPr>
        <w:t>Los resultados de ambos análisis se encuentran a continuación:</w:t>
      </w:r>
    </w:p>
    <w:p w:rsidR="007D1AFD" w:rsidRDefault="007D1AFD" w:rsidP="007D1AFD">
      <w:pPr>
        <w:pStyle w:val="Sinespaciado"/>
        <w:jc w:val="both"/>
        <w:rPr>
          <w:rFonts w:cs="Arial"/>
          <w:b/>
          <w:szCs w:val="22"/>
          <w:lang w:val="es-CO"/>
        </w:rPr>
      </w:pPr>
    </w:p>
    <w:p w:rsidR="007D1AFD" w:rsidRPr="007D1AFD" w:rsidRDefault="007D1AFD" w:rsidP="007D1AFD">
      <w:pPr>
        <w:pStyle w:val="Sinespaciado"/>
        <w:jc w:val="both"/>
        <w:rPr>
          <w:rFonts w:cs="Arial"/>
          <w:b/>
          <w:szCs w:val="22"/>
          <w:lang w:val="es-CO"/>
        </w:rPr>
      </w:pPr>
      <w:r w:rsidRPr="007D1AFD">
        <w:rPr>
          <w:rFonts w:cs="Arial"/>
          <w:b/>
          <w:szCs w:val="22"/>
          <w:lang w:val="es-CO"/>
        </w:rPr>
        <w:t>Visitas Especiales</w:t>
      </w:r>
    </w:p>
    <w:p w:rsidR="007D1AFD" w:rsidRPr="007D1AFD" w:rsidRDefault="007D1AFD" w:rsidP="007D1AFD">
      <w:pPr>
        <w:pStyle w:val="Sinespaciado"/>
        <w:jc w:val="both"/>
        <w:rPr>
          <w:rFonts w:cs="Arial"/>
          <w:szCs w:val="22"/>
          <w:lang w:val="es-CO"/>
        </w:rPr>
      </w:pPr>
    </w:p>
    <w:p w:rsidR="007D1AFD" w:rsidRPr="007D1AFD" w:rsidRDefault="007D1AFD" w:rsidP="007D1AFD">
      <w:pPr>
        <w:pStyle w:val="Sinespaciado"/>
        <w:jc w:val="both"/>
        <w:rPr>
          <w:rFonts w:cs="Arial"/>
          <w:szCs w:val="22"/>
          <w:lang w:val="es-CO"/>
        </w:rPr>
      </w:pPr>
      <w:r w:rsidRPr="007D1AFD">
        <w:rPr>
          <w:rFonts w:cs="Arial"/>
          <w:szCs w:val="22"/>
          <w:lang w:val="es-CO"/>
        </w:rPr>
        <w:t>Durante el primer semestre del 2016 se enfocaron las visitas especiales en las entidades del Distrito Capital y otras entidades nacionales de interés. A la fecha del cierre para este informe se realizaron un total de 77 (setenta y siete) visitas, verificando el cumplimiento de la disposiciones consagradas en la Ley 1712 de 2014, en el Decreto 103 de 2015 y en la Resolución 3564 de 2015.</w:t>
      </w:r>
    </w:p>
    <w:p w:rsidR="007D1AFD" w:rsidRPr="007D1AFD" w:rsidRDefault="007D1AFD" w:rsidP="007D1AFD">
      <w:pPr>
        <w:pStyle w:val="Sinespaciado"/>
        <w:jc w:val="both"/>
        <w:rPr>
          <w:rFonts w:cs="Arial"/>
          <w:szCs w:val="22"/>
          <w:lang w:val="es-CO"/>
        </w:rPr>
      </w:pPr>
    </w:p>
    <w:p w:rsidR="007D1AFD" w:rsidRPr="007D1AFD" w:rsidRDefault="007D1AFD" w:rsidP="007D1AFD">
      <w:pPr>
        <w:pStyle w:val="Sinespaciado"/>
        <w:jc w:val="both"/>
        <w:rPr>
          <w:rFonts w:cs="Arial"/>
          <w:szCs w:val="22"/>
          <w:lang w:val="es-CO"/>
        </w:rPr>
      </w:pPr>
      <w:r w:rsidRPr="007D1AFD">
        <w:rPr>
          <w:rFonts w:cs="Arial"/>
          <w:szCs w:val="22"/>
          <w:lang w:val="es-CO"/>
        </w:rPr>
        <w:t>Se evidenció por parte de los funcionarios comisionados para realizar las visitas especiales, que los sujetos obligados teniendo pleno conocimiento de la obligación al cumplimento de la Ley 1712 de 2014, no tenían conocimiento de la existencia de la Resolución 3564 de 2015 expedida por el Ministerio de las Tecnologías y de las Telecomunicaciones.</w:t>
      </w:r>
    </w:p>
    <w:p w:rsidR="007D1AFD" w:rsidRPr="007D1AFD" w:rsidRDefault="007D1AFD" w:rsidP="007D1AFD">
      <w:pPr>
        <w:pStyle w:val="Sinespaciado"/>
        <w:jc w:val="both"/>
        <w:rPr>
          <w:rFonts w:cs="Arial"/>
          <w:szCs w:val="22"/>
          <w:lang w:val="es-CO"/>
        </w:rPr>
      </w:pPr>
    </w:p>
    <w:p w:rsidR="007D1AFD" w:rsidRPr="007D1AFD" w:rsidRDefault="007D1AFD" w:rsidP="007D1AFD">
      <w:pPr>
        <w:pStyle w:val="Sinespaciado"/>
        <w:jc w:val="both"/>
        <w:rPr>
          <w:rFonts w:cs="Arial"/>
          <w:szCs w:val="22"/>
          <w:lang w:val="es-CO"/>
        </w:rPr>
      </w:pPr>
      <w:r w:rsidRPr="007D1AFD">
        <w:rPr>
          <w:rFonts w:cs="Arial"/>
          <w:szCs w:val="22"/>
          <w:lang w:val="es-CO"/>
        </w:rPr>
        <w:t xml:space="preserve">Se puede constatar que existe un amplio desconocimiento en cuanto a la obligación de publicar los informes de cuenta fiscal rendidos a la Contraloría de Bogotá. Las entidades reportaron a los funcionarios comisionados de la Procuraduría General de la Nación, que dicho informe existe pero se reporta con diversos archivos a través de un software que se llama STORM </w:t>
      </w:r>
      <w:proofErr w:type="spellStart"/>
      <w:r w:rsidRPr="007D1AFD">
        <w:rPr>
          <w:rFonts w:cs="Arial"/>
          <w:szCs w:val="22"/>
          <w:lang w:val="es-CO"/>
        </w:rPr>
        <w:t>user</w:t>
      </w:r>
      <w:proofErr w:type="spellEnd"/>
      <w:r w:rsidRPr="007D1AFD">
        <w:rPr>
          <w:rFonts w:cs="Arial"/>
          <w:szCs w:val="22"/>
          <w:lang w:val="es-CO"/>
        </w:rPr>
        <w:t>, por medio del cual se carga en línea la información de la cuenta fiscal al Sistema de Vigilancia y Control Fiscal – SIVICOF. Es de aclarar que a este sistema, las personas no tienen libre acceso y los resultados del informe sólo pueden ser consultados por quien carga la información.</w:t>
      </w:r>
    </w:p>
    <w:p w:rsidR="007D1AFD" w:rsidRPr="007D1AFD" w:rsidRDefault="007D1AFD" w:rsidP="007D1AFD">
      <w:pPr>
        <w:pStyle w:val="Sinespaciado"/>
        <w:jc w:val="both"/>
        <w:rPr>
          <w:rFonts w:cs="Arial"/>
          <w:szCs w:val="22"/>
          <w:lang w:val="es-CO"/>
        </w:rPr>
      </w:pPr>
    </w:p>
    <w:p w:rsidR="007D1AFD" w:rsidRPr="007D1AFD" w:rsidRDefault="007D1AFD" w:rsidP="007D1AFD">
      <w:pPr>
        <w:pStyle w:val="Sinespaciado"/>
        <w:jc w:val="both"/>
        <w:rPr>
          <w:rFonts w:cs="Arial"/>
          <w:szCs w:val="22"/>
          <w:lang w:val="es-CO"/>
        </w:rPr>
      </w:pPr>
      <w:r w:rsidRPr="007D1AFD">
        <w:rPr>
          <w:rFonts w:cs="Arial"/>
          <w:szCs w:val="22"/>
          <w:lang w:val="es-CO"/>
        </w:rPr>
        <w:t xml:space="preserve">Por otra parte los sujetos obligados del orden distrital a diferencia de los del orden nacional, no reportan su directorio de empleados, contratistas y funcionarios al Sistema de Información y Gestión del Empleo Público – SIGEP, tal y como lo daría por cumplido la norma, teniendo en cuenta que el distrito reportan dicha información al Sistema Distrital del Empleo y la Administración Pública – SIDEAP. Se acreditó que este sistema de recolección de información sobre los servidores públicos, no se encuentra intercomunicado con el SIGEP, lo cual genera que la información no sea pública. De acuerdo con lo anterior, se requirió a cada sujeto obligado a publicar en formato Excel el respectivo directorio con los </w:t>
      </w:r>
      <w:r w:rsidRPr="007D1AFD">
        <w:rPr>
          <w:rFonts w:cs="Arial"/>
          <w:szCs w:val="22"/>
          <w:lang w:val="es-CO"/>
        </w:rPr>
        <w:lastRenderedPageBreak/>
        <w:t>componentes establecidos por la normatividad, hasta tanto las plataformas de SIGEP y SIDEAP, se articulen conforme a la Ley.</w:t>
      </w:r>
    </w:p>
    <w:p w:rsidR="007D1AFD" w:rsidRPr="007D1AFD" w:rsidRDefault="007D1AFD" w:rsidP="007D1AFD">
      <w:pPr>
        <w:pStyle w:val="Sinespaciado"/>
        <w:jc w:val="both"/>
        <w:rPr>
          <w:rFonts w:cs="Arial"/>
          <w:szCs w:val="22"/>
          <w:lang w:val="es-CO"/>
        </w:rPr>
      </w:pPr>
    </w:p>
    <w:p w:rsidR="007D1AFD" w:rsidRPr="007D1AFD" w:rsidRDefault="007D1AFD" w:rsidP="007D1AFD">
      <w:pPr>
        <w:pStyle w:val="Sinespaciado"/>
        <w:jc w:val="both"/>
        <w:rPr>
          <w:rFonts w:cs="Arial"/>
          <w:szCs w:val="22"/>
          <w:lang w:val="es-CO"/>
        </w:rPr>
      </w:pPr>
      <w:r w:rsidRPr="007D1AFD">
        <w:rPr>
          <w:rFonts w:cs="Arial"/>
          <w:szCs w:val="22"/>
          <w:lang w:val="es-CO"/>
        </w:rPr>
        <w:t xml:space="preserve">Es necesario denotar que las entidades no publican el informe de PQRS conforme lo establecido en el Articulo 52 del Decreto 103 de 2015. Es decir, que a pesar de contar con un informe general de PQRS, los sujetos obligados no cumplen con los cuatro componentes exigidos para las solicitudes de acceso a la información pública. </w:t>
      </w:r>
    </w:p>
    <w:p w:rsidR="007D1AFD" w:rsidRPr="007D1AFD" w:rsidRDefault="007D1AFD" w:rsidP="007D1AFD">
      <w:pPr>
        <w:pStyle w:val="Sinespaciado"/>
        <w:jc w:val="both"/>
        <w:rPr>
          <w:rFonts w:cs="Arial"/>
          <w:szCs w:val="22"/>
          <w:lang w:val="es-CO"/>
        </w:rPr>
      </w:pPr>
    </w:p>
    <w:p w:rsidR="007D1AFD" w:rsidRPr="007D1AFD" w:rsidRDefault="007D1AFD" w:rsidP="007D1AFD">
      <w:pPr>
        <w:pStyle w:val="Sinespaciado"/>
        <w:jc w:val="both"/>
        <w:rPr>
          <w:rFonts w:cs="Arial"/>
          <w:szCs w:val="22"/>
          <w:lang w:val="es-CO"/>
        </w:rPr>
      </w:pPr>
      <w:r w:rsidRPr="007D1AFD">
        <w:rPr>
          <w:rFonts w:cs="Arial"/>
          <w:szCs w:val="22"/>
          <w:lang w:val="es-CO"/>
        </w:rPr>
        <w:t xml:space="preserve">Respecto a lo dispuesto en el artículo 8 del Decreto 103 de 2015, en relación a la publicación de las aprobaciones, autorizaciones, requerimientos o informes del supervisor o del interventor, que prueben la ejecución de los contratos en el Sistema Electrónico de Contratación Pública – SECOP; Se observó que los sujetos obligados en general no están cumpliendo con dicha obligación. </w:t>
      </w:r>
    </w:p>
    <w:p w:rsidR="007D1AFD" w:rsidRPr="007D1AFD" w:rsidRDefault="007D1AFD" w:rsidP="007D1AFD">
      <w:pPr>
        <w:pStyle w:val="Sinespaciado"/>
        <w:jc w:val="both"/>
        <w:rPr>
          <w:rFonts w:cs="Arial"/>
          <w:szCs w:val="22"/>
          <w:lang w:val="es-CO"/>
        </w:rPr>
      </w:pPr>
    </w:p>
    <w:p w:rsidR="007D1AFD" w:rsidRPr="007D1AFD" w:rsidRDefault="007D1AFD" w:rsidP="007D1AFD">
      <w:pPr>
        <w:pStyle w:val="Sinespaciado"/>
        <w:jc w:val="both"/>
        <w:rPr>
          <w:rFonts w:cs="Arial"/>
          <w:szCs w:val="22"/>
          <w:lang w:val="es-CO"/>
        </w:rPr>
      </w:pPr>
      <w:r w:rsidRPr="007D1AFD">
        <w:rPr>
          <w:rFonts w:cs="Arial"/>
          <w:szCs w:val="22"/>
          <w:lang w:val="es-CO"/>
        </w:rPr>
        <w:t xml:space="preserve">Dentro del marco de la defensa Judicial se encontró que la Resolución 3564 de 2015, específica que los sujetos obligados deben publicar un informe de las demandas contra la entidad debiendo incluir: a). Número de demandas, b). Estado en que se encuentra, c). Pretensión o cuantía de la demanda, d). Riesgo de pérdida. Los sujetos obligados entienden cumplida esta obligación por tenerla publicada en el SIPROJ (sistema de información de procesos judiciales), o en el EKOGUI que esta creado para las entidades públicas del orden nacional; aclarando que estos sistemas no permiten el ingreso a las personas para consultar la información anteriormente mencionada, lo cual obstaculiza el cumplimiento de la obligación. </w:t>
      </w:r>
    </w:p>
    <w:p w:rsidR="007D1AFD" w:rsidRPr="007D1AFD" w:rsidRDefault="007D1AFD" w:rsidP="007D1AFD">
      <w:pPr>
        <w:pStyle w:val="Sinespaciado"/>
        <w:jc w:val="both"/>
        <w:rPr>
          <w:rFonts w:cs="Arial"/>
          <w:szCs w:val="22"/>
          <w:lang w:val="es-CO"/>
        </w:rPr>
      </w:pPr>
    </w:p>
    <w:p w:rsidR="007D1AFD" w:rsidRPr="007D1AFD" w:rsidRDefault="007D1AFD" w:rsidP="007D1AFD">
      <w:pPr>
        <w:pStyle w:val="Sinespaciado"/>
        <w:jc w:val="both"/>
        <w:rPr>
          <w:rFonts w:cs="Arial"/>
          <w:szCs w:val="22"/>
          <w:lang w:val="es-CO"/>
        </w:rPr>
      </w:pPr>
      <w:r w:rsidRPr="007D1AFD">
        <w:rPr>
          <w:rFonts w:cs="Arial"/>
          <w:szCs w:val="22"/>
          <w:lang w:val="es-CO"/>
        </w:rPr>
        <w:t>El Distrito formuló un lineamiento a través del Archivo de Bogotá respecto al registro de activos de información, integrando dos instrumentos archivísticos: el cuadro de caracterización documental y el registro de activos de información, situación que ha facilitado la elaboración de este instrumento por parte de las entidades para el cumplimiento de las obligaciones establecidas por la Ley.</w:t>
      </w:r>
    </w:p>
    <w:p w:rsidR="007D1AFD" w:rsidRPr="007D1AFD" w:rsidRDefault="007D1AFD" w:rsidP="007D1AFD">
      <w:pPr>
        <w:pStyle w:val="Sinespaciado"/>
        <w:jc w:val="both"/>
        <w:rPr>
          <w:rFonts w:cs="Arial"/>
          <w:szCs w:val="22"/>
          <w:lang w:val="es-CO"/>
        </w:rPr>
      </w:pPr>
    </w:p>
    <w:p w:rsidR="007D1AFD" w:rsidRPr="007D1AFD" w:rsidRDefault="007D1AFD" w:rsidP="007D1AFD">
      <w:pPr>
        <w:pStyle w:val="Sinespaciado"/>
        <w:jc w:val="both"/>
        <w:rPr>
          <w:rFonts w:cs="Arial"/>
          <w:szCs w:val="22"/>
          <w:lang w:val="es-CO"/>
        </w:rPr>
      </w:pPr>
      <w:r w:rsidRPr="007D1AFD">
        <w:rPr>
          <w:rFonts w:cs="Arial"/>
          <w:szCs w:val="22"/>
          <w:lang w:val="es-CO"/>
        </w:rPr>
        <w:t xml:space="preserve">Frente a la gestión documental es importante mencionar que muchos sujetos obligados no contaban con las tablas de retención documental convalidadas por el Archivo de Bogotá, y a su vez tampoco publicaban su programa de gestión documental, bajo el argumento de no haber sido aprobado. Se refleja por tanto unas dificultades técnicas a nivel distrital como nacional, para dar pleno cumplimiento a todas las disposiciones contenidas en la normatividad. </w:t>
      </w:r>
    </w:p>
    <w:p w:rsidR="007D1AFD" w:rsidRPr="007D1AFD" w:rsidRDefault="007D1AFD" w:rsidP="007D1AFD">
      <w:pPr>
        <w:pStyle w:val="Sinespaciado"/>
        <w:jc w:val="both"/>
        <w:rPr>
          <w:rFonts w:cs="Arial"/>
          <w:szCs w:val="22"/>
          <w:lang w:val="es-CO"/>
        </w:rPr>
      </w:pPr>
    </w:p>
    <w:p w:rsidR="007D1AFD" w:rsidRPr="007D1AFD" w:rsidRDefault="007D1AFD" w:rsidP="007D1AFD">
      <w:pPr>
        <w:pStyle w:val="Sinespaciado"/>
        <w:jc w:val="both"/>
        <w:rPr>
          <w:rFonts w:cs="Arial"/>
          <w:szCs w:val="22"/>
          <w:lang w:val="es-CO"/>
        </w:rPr>
      </w:pPr>
      <w:r w:rsidRPr="007D1AFD">
        <w:rPr>
          <w:rFonts w:cs="Arial"/>
          <w:szCs w:val="22"/>
          <w:lang w:val="es-CO"/>
        </w:rPr>
        <w:t>Finalmente se observó que existe información que se duplica entre distintos sistemas electrónicos de reporte, lo que se refleja por ejemplo en el caso contractual (SECOP y contratación a la vista) y entre el (SUIT y la guía de trámites y servicios a nivel distrital).</w:t>
      </w:r>
    </w:p>
    <w:p w:rsidR="007D1AFD" w:rsidRPr="001D025C" w:rsidRDefault="007D1AFD" w:rsidP="007D1AFD">
      <w:pPr>
        <w:pStyle w:val="Sinespaciado"/>
        <w:jc w:val="both"/>
        <w:rPr>
          <w:rFonts w:cs="Arial"/>
          <w:szCs w:val="22"/>
          <w:lang w:val="es-CO"/>
        </w:rPr>
      </w:pPr>
    </w:p>
    <w:p w:rsidR="007D1AFD" w:rsidRPr="007D1AFD" w:rsidRDefault="007D1AFD" w:rsidP="007D1AFD">
      <w:pPr>
        <w:pStyle w:val="Sinespaciado"/>
        <w:jc w:val="both"/>
        <w:rPr>
          <w:rFonts w:cs="Arial"/>
          <w:szCs w:val="22"/>
          <w:lang w:val="es-CO"/>
        </w:rPr>
      </w:pPr>
      <w:r w:rsidRPr="007D1AFD">
        <w:rPr>
          <w:rFonts w:cs="Arial"/>
          <w:szCs w:val="22"/>
          <w:lang w:val="es-CO"/>
        </w:rPr>
        <w:t xml:space="preserve">En conclusión General, se ha evidenciado que los sujetos obligados dan un cumplimento parcial a la Ley de Transparencia y el Derecho de acceso a la Información Pública, deben ajustarse a los lineamientos respecto de los estándares para la publicación y divulgación de la información establecidos en la Resolución 3564 de 2015 y el mayor incumplimiento encontrado en las visitas especiales se evidenció en la publicación de los instrumentos de la gestión de  información pública referidos en el Título V, artículo 35. Del Decreto 103 de 2015. </w:t>
      </w:r>
    </w:p>
    <w:p w:rsidR="007D1AFD" w:rsidRDefault="007D1AFD" w:rsidP="008149CB">
      <w:pPr>
        <w:jc w:val="both"/>
        <w:rPr>
          <w:rFonts w:cstheme="minorHAnsi"/>
          <w:lang w:val="es-CO"/>
        </w:rPr>
      </w:pPr>
    </w:p>
    <w:p w:rsidR="00163B10" w:rsidRPr="009F178F" w:rsidRDefault="000E3232" w:rsidP="008149CB">
      <w:pPr>
        <w:jc w:val="both"/>
        <w:rPr>
          <w:rFonts w:cstheme="minorHAnsi"/>
          <w:b/>
          <w:lang w:val="es-CO"/>
        </w:rPr>
      </w:pPr>
      <w:r>
        <w:rPr>
          <w:rFonts w:cstheme="minorHAnsi"/>
          <w:b/>
          <w:lang w:val="es-CO"/>
        </w:rPr>
        <w:t>Indicadores</w:t>
      </w:r>
      <w:r w:rsidR="00423FB0">
        <w:rPr>
          <w:rFonts w:cstheme="minorHAnsi"/>
          <w:b/>
          <w:lang w:val="es-CO"/>
        </w:rPr>
        <w:t xml:space="preserve"> de transparencia y acceso a la información pública</w:t>
      </w:r>
    </w:p>
    <w:p w:rsidR="00163B10" w:rsidRDefault="00163B10" w:rsidP="008149CB">
      <w:pPr>
        <w:jc w:val="both"/>
        <w:rPr>
          <w:rFonts w:cstheme="minorHAnsi"/>
          <w:lang w:val="es-CO"/>
        </w:rPr>
      </w:pPr>
    </w:p>
    <w:p w:rsidR="000E3232" w:rsidRDefault="000E3232" w:rsidP="008149CB">
      <w:pPr>
        <w:jc w:val="both"/>
        <w:rPr>
          <w:lang w:val="es-CO"/>
        </w:rPr>
      </w:pPr>
      <w:r>
        <w:rPr>
          <w:rFonts w:cstheme="minorHAnsi"/>
          <w:lang w:val="es-CO"/>
        </w:rPr>
        <w:t xml:space="preserve">El Departamento Administrativo de la Función Pública (DAFP), dentro de sus funciones de monitoreo de las políticas públicas, incluyó un componente </w:t>
      </w:r>
      <w:r w:rsidR="00A96F27">
        <w:rPr>
          <w:rFonts w:cstheme="minorHAnsi"/>
          <w:lang w:val="es-CO"/>
        </w:rPr>
        <w:t xml:space="preserve">transparencia y acceso a la información en el </w:t>
      </w:r>
      <w:r w:rsidR="00A96F27" w:rsidRPr="00CF24A7">
        <w:rPr>
          <w:lang w:val="es-CO"/>
        </w:rPr>
        <w:t>Formulario Único</w:t>
      </w:r>
      <w:r w:rsidR="00A96F27">
        <w:rPr>
          <w:lang w:val="es-CO"/>
        </w:rPr>
        <w:t xml:space="preserve"> de</w:t>
      </w:r>
      <w:r w:rsidR="00A96F27" w:rsidRPr="00CF24A7">
        <w:rPr>
          <w:lang w:val="es-CO"/>
        </w:rPr>
        <w:t xml:space="preserve"> Reporte de Avance de la Gestión (</w:t>
      </w:r>
      <w:r w:rsidR="00A96F27">
        <w:rPr>
          <w:lang w:val="es-CO"/>
        </w:rPr>
        <w:t xml:space="preserve">FURAG), que para la vigencia 2014 evidenció un resultado del 66,6% por parte de las 168 entidades del orden nacional de la rama ejecutiva. </w:t>
      </w:r>
    </w:p>
    <w:p w:rsidR="004E1A9B" w:rsidRDefault="004E1A9B" w:rsidP="008149CB">
      <w:pPr>
        <w:jc w:val="both"/>
        <w:rPr>
          <w:lang w:val="es-CO"/>
        </w:rPr>
      </w:pPr>
    </w:p>
    <w:p w:rsidR="000E3232" w:rsidRPr="009B57EE" w:rsidRDefault="004E1A9B" w:rsidP="008149CB">
      <w:pPr>
        <w:jc w:val="both"/>
        <w:rPr>
          <w:lang w:val="es-CO"/>
        </w:rPr>
      </w:pPr>
      <w:r>
        <w:rPr>
          <w:lang w:val="es-CO"/>
        </w:rPr>
        <w:t>Por otro lado, la Veeduría Distrital</w:t>
      </w:r>
      <w:r w:rsidR="00AA6833">
        <w:rPr>
          <w:lang w:val="es-CO"/>
        </w:rPr>
        <w:t xml:space="preserve"> de Bogotá</w:t>
      </w:r>
      <w:r>
        <w:rPr>
          <w:lang w:val="es-CO"/>
        </w:rPr>
        <w:t xml:space="preserve"> </w:t>
      </w:r>
      <w:r w:rsidR="00AA6833">
        <w:rPr>
          <w:lang w:val="es-CO"/>
        </w:rPr>
        <w:t xml:space="preserve">elaboró el Informe de Cumplimiento de la Ley de Transparencia y Acceso a la Información Pública de </w:t>
      </w:r>
      <w:r w:rsidR="009B57EE">
        <w:rPr>
          <w:lang w:val="es-CO"/>
        </w:rPr>
        <w:t>91 e</w:t>
      </w:r>
      <w:r w:rsidR="00AA6833">
        <w:rPr>
          <w:lang w:val="es-CO"/>
        </w:rPr>
        <w:t xml:space="preserve">ntidades </w:t>
      </w:r>
      <w:r w:rsidR="009B57EE">
        <w:rPr>
          <w:lang w:val="es-CO"/>
        </w:rPr>
        <w:t>d</w:t>
      </w:r>
      <w:r w:rsidR="00AA6833">
        <w:rPr>
          <w:lang w:val="es-CO"/>
        </w:rPr>
        <w:t xml:space="preserve">istritales, con colaboración de la </w:t>
      </w:r>
      <w:r>
        <w:rPr>
          <w:lang w:val="es-CO"/>
        </w:rPr>
        <w:t>Corporación Transparencia por Colombia</w:t>
      </w:r>
      <w:r w:rsidR="00AA6833">
        <w:rPr>
          <w:lang w:val="es-CO"/>
        </w:rPr>
        <w:t xml:space="preserve"> para la vigencia 2015, teniendo en cuenta la Matriz de Autodiagnóstico </w:t>
      </w:r>
      <w:r w:rsidR="009B57EE">
        <w:rPr>
          <w:lang w:val="es-CO"/>
        </w:rPr>
        <w:t xml:space="preserve">versión 1 </w:t>
      </w:r>
      <w:r w:rsidR="00AA6833">
        <w:rPr>
          <w:lang w:val="es-CO"/>
        </w:rPr>
        <w:t>desarrollada por este Grupo</w:t>
      </w:r>
      <w:r w:rsidR="009B57EE">
        <w:rPr>
          <w:lang w:val="es-CO"/>
        </w:rPr>
        <w:t xml:space="preserve"> que contempla únicamente las obligaciones de la Ley 1712 de 2014.</w:t>
      </w:r>
      <w:r w:rsidR="004000A0">
        <w:rPr>
          <w:lang w:val="es-CO"/>
        </w:rPr>
        <w:t xml:space="preserve"> </w:t>
      </w:r>
      <w:r w:rsidR="009B57EE" w:rsidRPr="009B57EE">
        <w:rPr>
          <w:sz w:val="23"/>
          <w:szCs w:val="23"/>
          <w:lang w:val="es-CO"/>
        </w:rPr>
        <w:t>La verificación tuvo en cuenta 46 entidades que conforman el nivel central y descentralizado de la administración distrital,</w:t>
      </w:r>
      <w:r w:rsidR="009B57EE">
        <w:rPr>
          <w:sz w:val="23"/>
          <w:szCs w:val="23"/>
          <w:lang w:val="es-CO"/>
        </w:rPr>
        <w:t xml:space="preserve"> 20 Alcaldías Locales,</w:t>
      </w:r>
      <w:r w:rsidR="009B57EE" w:rsidRPr="009B57EE">
        <w:rPr>
          <w:sz w:val="23"/>
          <w:szCs w:val="23"/>
          <w:lang w:val="es-CO"/>
        </w:rPr>
        <w:t xml:space="preserve"> 22 Hospitales de la ciudad</w:t>
      </w:r>
      <w:r w:rsidR="009B57EE">
        <w:rPr>
          <w:sz w:val="23"/>
          <w:szCs w:val="23"/>
          <w:lang w:val="es-CO"/>
        </w:rPr>
        <w:t>, la Personería,</w:t>
      </w:r>
      <w:r w:rsidR="009B57EE" w:rsidRPr="009B57EE">
        <w:rPr>
          <w:sz w:val="23"/>
          <w:szCs w:val="23"/>
          <w:lang w:val="es-CO"/>
        </w:rPr>
        <w:t xml:space="preserve"> la Controlaría Distrital</w:t>
      </w:r>
      <w:r w:rsidR="009B57EE">
        <w:rPr>
          <w:sz w:val="23"/>
          <w:szCs w:val="23"/>
          <w:lang w:val="es-CO"/>
        </w:rPr>
        <w:t xml:space="preserve"> y </w:t>
      </w:r>
      <w:r w:rsidR="009B57EE" w:rsidRPr="009B57EE">
        <w:rPr>
          <w:sz w:val="23"/>
          <w:szCs w:val="23"/>
          <w:lang w:val="es-CO"/>
        </w:rPr>
        <w:t xml:space="preserve">el Concejo de Bogotá. </w:t>
      </w:r>
      <w:r w:rsidR="004000A0">
        <w:rPr>
          <w:lang w:val="es-CO"/>
        </w:rPr>
        <w:t xml:space="preserve">Las principal </w:t>
      </w:r>
      <w:r w:rsidR="009B57EE">
        <w:rPr>
          <w:lang w:val="es-CO"/>
        </w:rPr>
        <w:t>conclusión</w:t>
      </w:r>
      <w:r w:rsidR="004000A0">
        <w:rPr>
          <w:lang w:val="es-CO"/>
        </w:rPr>
        <w:t xml:space="preserve"> </w:t>
      </w:r>
      <w:r w:rsidR="009B57EE">
        <w:rPr>
          <w:lang w:val="es-CO"/>
        </w:rPr>
        <w:t xml:space="preserve">de </w:t>
      </w:r>
      <w:r w:rsidR="004000A0">
        <w:rPr>
          <w:lang w:val="es-CO"/>
        </w:rPr>
        <w:t xml:space="preserve">este informe </w:t>
      </w:r>
      <w:r w:rsidR="009B57EE">
        <w:rPr>
          <w:lang w:val="es-CO"/>
        </w:rPr>
        <w:t xml:space="preserve">es </w:t>
      </w:r>
      <w:r w:rsidR="004000A0">
        <w:rPr>
          <w:lang w:val="es-CO"/>
        </w:rPr>
        <w:t xml:space="preserve">que el </w:t>
      </w:r>
      <w:r w:rsidR="004000A0" w:rsidRPr="004000A0">
        <w:rPr>
          <w:lang w:val="es-CO"/>
        </w:rPr>
        <w:t xml:space="preserve">gobierno de la ciudad está </w:t>
      </w:r>
      <w:r w:rsidR="004000A0">
        <w:rPr>
          <w:lang w:val="es-CO"/>
        </w:rPr>
        <w:t>“</w:t>
      </w:r>
      <w:r w:rsidR="004000A0" w:rsidRPr="004000A0">
        <w:rPr>
          <w:i/>
          <w:lang w:val="es-CO"/>
        </w:rPr>
        <w:t xml:space="preserve">a medio camino de alcanzar los estándares de la Ley 1712 de 2014, en </w:t>
      </w:r>
      <w:r w:rsidR="004000A0" w:rsidRPr="004000A0">
        <w:rPr>
          <w:i/>
          <w:lang w:val="es-CO"/>
        </w:rPr>
        <w:lastRenderedPageBreak/>
        <w:t>términos de garantizar entornos de mayor transparencia en la gestión institucional y el derecho de acceso a la información pública de la ciudadanía</w:t>
      </w:r>
      <w:r w:rsidR="004000A0">
        <w:rPr>
          <w:lang w:val="es-CO"/>
        </w:rPr>
        <w:t>”</w:t>
      </w:r>
      <w:r w:rsidR="00091805">
        <w:rPr>
          <w:lang w:val="es-CO"/>
        </w:rPr>
        <w:t xml:space="preserve"> y que </w:t>
      </w:r>
      <w:r w:rsidR="00091805" w:rsidRPr="00091805">
        <w:rPr>
          <w:lang w:val="es-CO"/>
        </w:rPr>
        <w:t xml:space="preserve">los </w:t>
      </w:r>
      <w:r w:rsidR="009B57EE">
        <w:rPr>
          <w:lang w:val="es-CO"/>
        </w:rPr>
        <w:t xml:space="preserve">tienen falencias de </w:t>
      </w:r>
      <w:r w:rsidR="00091805" w:rsidRPr="00091805">
        <w:rPr>
          <w:lang w:val="es-CO"/>
        </w:rPr>
        <w:t xml:space="preserve">publicación de </w:t>
      </w:r>
      <w:r w:rsidR="00091805">
        <w:rPr>
          <w:lang w:val="es-CO"/>
        </w:rPr>
        <w:t xml:space="preserve">la información </w:t>
      </w:r>
      <w:r w:rsidR="00091805" w:rsidRPr="00091805">
        <w:rPr>
          <w:lang w:val="es-CO"/>
        </w:rPr>
        <w:t>mínim</w:t>
      </w:r>
      <w:r w:rsidR="00091805">
        <w:rPr>
          <w:lang w:val="es-CO"/>
        </w:rPr>
        <w:t xml:space="preserve">a </w:t>
      </w:r>
      <w:r w:rsidR="009B57EE">
        <w:rPr>
          <w:lang w:val="es-CO"/>
        </w:rPr>
        <w:t xml:space="preserve">relacionada con </w:t>
      </w:r>
      <w:r w:rsidR="00091805" w:rsidRPr="00091805">
        <w:rPr>
          <w:lang w:val="es-CO"/>
        </w:rPr>
        <w:t>procesos de participación ciudadana y gestión del talento humano</w:t>
      </w:r>
      <w:r w:rsidR="00091805">
        <w:rPr>
          <w:rStyle w:val="Refdenotaalpie"/>
          <w:lang w:val="es-CO"/>
        </w:rPr>
        <w:footnoteReference w:id="2"/>
      </w:r>
      <w:r w:rsidR="00091805" w:rsidRPr="00091805">
        <w:rPr>
          <w:lang w:val="es-CO"/>
        </w:rPr>
        <w:t>.</w:t>
      </w:r>
      <w:r w:rsidR="009B57EE" w:rsidRPr="009B57EE">
        <w:rPr>
          <w:sz w:val="23"/>
          <w:szCs w:val="23"/>
          <w:lang w:val="es-CO"/>
        </w:rPr>
        <w:t xml:space="preserve"> </w:t>
      </w:r>
    </w:p>
    <w:p w:rsidR="00091805" w:rsidRDefault="00091805" w:rsidP="00CF24A7">
      <w:pPr>
        <w:widowControl w:val="0"/>
        <w:ind w:right="57"/>
        <w:jc w:val="both"/>
        <w:rPr>
          <w:lang w:val="es-CO"/>
        </w:rPr>
      </w:pPr>
    </w:p>
    <w:p w:rsidR="009B57EE" w:rsidRDefault="009B57EE" w:rsidP="009B57EE">
      <w:pPr>
        <w:jc w:val="both"/>
        <w:rPr>
          <w:rFonts w:cstheme="minorHAnsi"/>
          <w:b/>
          <w:lang w:val="es-CO"/>
        </w:rPr>
      </w:pPr>
      <w:r>
        <w:rPr>
          <w:rFonts w:cstheme="minorHAnsi"/>
          <w:b/>
          <w:lang w:val="es-CO"/>
        </w:rPr>
        <w:t>Modelo de Vigilancia a sujetos obligados “no tradicionales”</w:t>
      </w:r>
    </w:p>
    <w:p w:rsidR="009B57EE" w:rsidRDefault="009B57EE" w:rsidP="009B57EE">
      <w:pPr>
        <w:jc w:val="both"/>
        <w:rPr>
          <w:rFonts w:cstheme="minorHAnsi"/>
          <w:b/>
          <w:lang w:val="es-CO"/>
        </w:rPr>
      </w:pPr>
    </w:p>
    <w:p w:rsidR="009B57EE" w:rsidRDefault="009B57EE" w:rsidP="009B57EE">
      <w:pPr>
        <w:jc w:val="both"/>
        <w:rPr>
          <w:rFonts w:cstheme="minorHAnsi"/>
          <w:lang w:val="es-CO"/>
        </w:rPr>
      </w:pPr>
      <w:r>
        <w:rPr>
          <w:rFonts w:cstheme="minorHAnsi"/>
          <w:lang w:val="es-CO"/>
        </w:rPr>
        <w:t>Ley de Transparencia incluye como sujetos obligados a aquellas personas naturales o jurídicas que ejercen función pública, administran recursos públicos y prestan servicios público</w:t>
      </w:r>
      <w:r w:rsidR="00423FB0">
        <w:rPr>
          <w:rFonts w:cstheme="minorHAnsi"/>
          <w:lang w:val="es-CO"/>
        </w:rPr>
        <w:t xml:space="preserve">s (Art. 5, Ley 1712 de 2014), a los cuales </w:t>
      </w:r>
      <w:r>
        <w:rPr>
          <w:rFonts w:cstheme="minorHAnsi"/>
          <w:lang w:val="es-CO"/>
        </w:rPr>
        <w:t>la Procuraduría</w:t>
      </w:r>
      <w:r w:rsidR="00423FB0">
        <w:rPr>
          <w:rFonts w:cstheme="minorHAnsi"/>
          <w:lang w:val="es-CO"/>
        </w:rPr>
        <w:t>,</w:t>
      </w:r>
      <w:r>
        <w:rPr>
          <w:rFonts w:cstheme="minorHAnsi"/>
          <w:lang w:val="es-CO"/>
        </w:rPr>
        <w:t xml:space="preserve"> como cabeza del Ministerio Público</w:t>
      </w:r>
      <w:r w:rsidR="00423FB0">
        <w:rPr>
          <w:rFonts w:cstheme="minorHAnsi"/>
          <w:lang w:val="es-CO"/>
        </w:rPr>
        <w:t>, debe vigilar en el cumplimiento de las obligaciones allí estipuladas. En este sentido</w:t>
      </w:r>
      <w:r>
        <w:rPr>
          <w:rFonts w:cstheme="minorHAnsi"/>
          <w:lang w:val="es-CO"/>
        </w:rPr>
        <w:t xml:space="preserve">, se </w:t>
      </w:r>
      <w:r w:rsidR="00423FB0">
        <w:rPr>
          <w:rFonts w:cstheme="minorHAnsi"/>
          <w:lang w:val="es-CO"/>
        </w:rPr>
        <w:t xml:space="preserve">desarrolló </w:t>
      </w:r>
      <w:r w:rsidR="00151F94">
        <w:rPr>
          <w:rFonts w:cstheme="minorHAnsi"/>
          <w:lang w:val="es-CO"/>
        </w:rPr>
        <w:t>un modelo para la vigilancia de estos sujetos obligados “no tradicionales” en las normativas de transparencia y acceso a la información pública.</w:t>
      </w:r>
    </w:p>
    <w:p w:rsidR="00151F94" w:rsidRDefault="00151F94" w:rsidP="009B57EE">
      <w:pPr>
        <w:jc w:val="both"/>
        <w:rPr>
          <w:rFonts w:cstheme="minorHAnsi"/>
          <w:lang w:val="es-CO"/>
        </w:rPr>
      </w:pPr>
    </w:p>
    <w:p w:rsidR="00151F94" w:rsidRPr="009B57EE" w:rsidRDefault="00423FB0" w:rsidP="009B57EE">
      <w:pPr>
        <w:jc w:val="both"/>
        <w:rPr>
          <w:rFonts w:cstheme="minorHAnsi"/>
          <w:lang w:val="es-CO"/>
        </w:rPr>
      </w:pPr>
      <w:r>
        <w:rPr>
          <w:rFonts w:cstheme="minorHAnsi"/>
          <w:lang w:val="es-CO"/>
        </w:rPr>
        <w:t>L</w:t>
      </w:r>
      <w:r w:rsidR="00151F94">
        <w:rPr>
          <w:rFonts w:cstheme="minorHAnsi"/>
          <w:lang w:val="es-CO"/>
        </w:rPr>
        <w:t xml:space="preserve">a implementación de este modelo requiere del desarrollo de </w:t>
      </w:r>
      <w:r>
        <w:rPr>
          <w:rFonts w:cstheme="minorHAnsi"/>
          <w:lang w:val="es-CO"/>
        </w:rPr>
        <w:t xml:space="preserve">un </w:t>
      </w:r>
      <w:r w:rsidR="00151F94">
        <w:rPr>
          <w:rFonts w:cstheme="minorHAnsi"/>
          <w:lang w:val="es-CO"/>
        </w:rPr>
        <w:t xml:space="preserve">sistema de información que recolecte y analice, a su vez, la información recolectada por los organismos de inspección, vigilancia y control de dichos sujetos “no tradicionales”. Dentro de las múltiples dificultades que se han evidenciado en el análisis de los datos recolectados por los sistemas de información y vigilancia de dichas entidades de control, se encuentran la falta de competencia y alcance de las mismas para monitorear temas de gestión administrativa, entre las cuales se encuentran las de transparencia y acceso a la información pública, así como falta de flexibilidad de </w:t>
      </w:r>
      <w:r>
        <w:rPr>
          <w:rFonts w:cstheme="minorHAnsi"/>
          <w:lang w:val="es-CO"/>
        </w:rPr>
        <w:t>sus</w:t>
      </w:r>
      <w:r w:rsidR="00151F94">
        <w:rPr>
          <w:rFonts w:cstheme="minorHAnsi"/>
          <w:lang w:val="es-CO"/>
        </w:rPr>
        <w:t xml:space="preserve"> sistemas para incluir variables o un módulo </w:t>
      </w:r>
      <w:r>
        <w:rPr>
          <w:rFonts w:cstheme="minorHAnsi"/>
          <w:lang w:val="es-CO"/>
        </w:rPr>
        <w:t xml:space="preserve">para </w:t>
      </w:r>
      <w:r w:rsidR="00151F94">
        <w:rPr>
          <w:rFonts w:cstheme="minorHAnsi"/>
          <w:lang w:val="es-CO"/>
        </w:rPr>
        <w:t>dichas obligaciones.</w:t>
      </w:r>
    </w:p>
    <w:p w:rsidR="00163B10" w:rsidRDefault="00163B10" w:rsidP="008149CB">
      <w:pPr>
        <w:jc w:val="both"/>
        <w:rPr>
          <w:rFonts w:cstheme="minorHAnsi"/>
          <w:lang w:val="es-CO"/>
        </w:rPr>
      </w:pPr>
    </w:p>
    <w:p w:rsidR="00163B10" w:rsidRDefault="00423FB0" w:rsidP="008149CB">
      <w:pPr>
        <w:jc w:val="both"/>
        <w:rPr>
          <w:rFonts w:cstheme="minorHAnsi"/>
          <w:lang w:val="es-CO"/>
        </w:rPr>
      </w:pPr>
      <w:r>
        <w:rPr>
          <w:rFonts w:cstheme="minorHAnsi"/>
          <w:lang w:val="es-CO"/>
        </w:rPr>
        <w:t>Considerando lo anterior, se ha avanzado el concepción de aplicativo web por medio del cual el Grupo pueda recolectar directamente la información del cumplimiento normativo por parte de los sujetos obligados de la Ley 1712 de 2014, el cual está desarrollándose con cooperación internacional.</w:t>
      </w:r>
    </w:p>
    <w:p w:rsidR="008149CB" w:rsidRDefault="008149CB" w:rsidP="008149CB">
      <w:pPr>
        <w:jc w:val="both"/>
        <w:rPr>
          <w:rFonts w:cstheme="minorHAnsi"/>
          <w:lang w:val="es-CO"/>
        </w:rPr>
      </w:pPr>
    </w:p>
    <w:p w:rsidR="00423FB0" w:rsidRPr="008149CB" w:rsidRDefault="00423FB0" w:rsidP="008149CB">
      <w:pPr>
        <w:jc w:val="both"/>
        <w:rPr>
          <w:rFonts w:cstheme="minorHAnsi"/>
          <w:lang w:val="es-CO"/>
        </w:rPr>
      </w:pPr>
    </w:p>
    <w:p w:rsidR="007D1AFD" w:rsidRDefault="007D1AFD" w:rsidP="007D1AFD">
      <w:pPr>
        <w:pStyle w:val="Prrafodelista"/>
        <w:numPr>
          <w:ilvl w:val="0"/>
          <w:numId w:val="16"/>
        </w:numPr>
        <w:spacing w:line="276" w:lineRule="auto"/>
        <w:contextualSpacing w:val="0"/>
        <w:jc w:val="both"/>
        <w:rPr>
          <w:rFonts w:ascii="Garamond" w:hAnsi="Garamond" w:cstheme="minorHAnsi"/>
          <w:b/>
        </w:rPr>
      </w:pPr>
      <w:r>
        <w:rPr>
          <w:rFonts w:ascii="Garamond" w:hAnsi="Garamond" w:cstheme="minorHAnsi"/>
          <w:b/>
        </w:rPr>
        <w:t>CONSULTAS Y SIPIR (SOLICITUD DE INFORMACIÓN PÚBLICA CON IDENTIFICACIÓN RESERVADA)</w:t>
      </w:r>
    </w:p>
    <w:p w:rsidR="008149CB" w:rsidRPr="008149CB" w:rsidRDefault="008149CB" w:rsidP="008149CB">
      <w:pPr>
        <w:jc w:val="both"/>
        <w:rPr>
          <w:rFonts w:cstheme="minorHAnsi"/>
          <w:lang w:val="es-CO"/>
        </w:rPr>
      </w:pPr>
    </w:p>
    <w:p w:rsidR="007D1AFD" w:rsidRPr="007D1AFD" w:rsidRDefault="007D1AFD" w:rsidP="00423FB0">
      <w:pPr>
        <w:pStyle w:val="Sinespaciado"/>
        <w:jc w:val="both"/>
        <w:rPr>
          <w:szCs w:val="22"/>
          <w:lang w:val="es-CO"/>
        </w:rPr>
      </w:pPr>
      <w:r w:rsidRPr="007D1AFD">
        <w:rPr>
          <w:szCs w:val="22"/>
          <w:lang w:val="es-CO"/>
        </w:rPr>
        <w:t>Se absolv</w:t>
      </w:r>
      <w:r w:rsidR="00423FB0">
        <w:rPr>
          <w:szCs w:val="22"/>
          <w:lang w:val="es-CO"/>
        </w:rPr>
        <w:t>i</w:t>
      </w:r>
      <w:r w:rsidRPr="007D1AFD">
        <w:rPr>
          <w:szCs w:val="22"/>
          <w:lang w:val="es-CO"/>
        </w:rPr>
        <w:t>er</w:t>
      </w:r>
      <w:r w:rsidR="00423FB0">
        <w:rPr>
          <w:szCs w:val="22"/>
          <w:lang w:val="es-CO"/>
        </w:rPr>
        <w:t xml:space="preserve">on 26 </w:t>
      </w:r>
      <w:r w:rsidRPr="007D1AFD">
        <w:rPr>
          <w:szCs w:val="22"/>
          <w:lang w:val="es-CO"/>
        </w:rPr>
        <w:t xml:space="preserve">consultas </w:t>
      </w:r>
      <w:r w:rsidR="00EF2C65">
        <w:rPr>
          <w:szCs w:val="22"/>
          <w:lang w:val="es-CO"/>
        </w:rPr>
        <w:t>y</w:t>
      </w:r>
      <w:r w:rsidR="00423FB0">
        <w:rPr>
          <w:szCs w:val="22"/>
          <w:lang w:val="es-CO"/>
        </w:rPr>
        <w:t xml:space="preserve"> seis (6)</w:t>
      </w:r>
      <w:r w:rsidRPr="007D1AFD">
        <w:rPr>
          <w:szCs w:val="22"/>
          <w:lang w:val="es-CO"/>
        </w:rPr>
        <w:t xml:space="preserve"> consultas telefónicas referentes a la Ley </w:t>
      </w:r>
      <w:r w:rsidR="00423FB0">
        <w:rPr>
          <w:szCs w:val="22"/>
          <w:lang w:val="es-CO"/>
        </w:rPr>
        <w:t>1</w:t>
      </w:r>
      <w:r w:rsidRPr="007D1AFD">
        <w:rPr>
          <w:szCs w:val="22"/>
          <w:lang w:val="es-CO"/>
        </w:rPr>
        <w:t>71</w:t>
      </w:r>
      <w:r w:rsidR="00423FB0">
        <w:rPr>
          <w:szCs w:val="22"/>
          <w:lang w:val="es-CO"/>
        </w:rPr>
        <w:t>2</w:t>
      </w:r>
      <w:r w:rsidRPr="007D1AFD">
        <w:rPr>
          <w:szCs w:val="22"/>
          <w:lang w:val="es-CO"/>
        </w:rPr>
        <w:t xml:space="preserve"> de 2014 y demás normas reglamentarias</w:t>
      </w:r>
      <w:r w:rsidR="00EF2C65">
        <w:rPr>
          <w:szCs w:val="22"/>
          <w:lang w:val="es-CO"/>
        </w:rPr>
        <w:t xml:space="preserve">, correspondientes a la totalidad allegadas al </w:t>
      </w:r>
      <w:r w:rsidR="00EF2C65" w:rsidRPr="007D1AFD">
        <w:rPr>
          <w:szCs w:val="22"/>
          <w:lang w:val="es-CO"/>
        </w:rPr>
        <w:t>Grupo de Transparencia</w:t>
      </w:r>
      <w:r w:rsidRPr="007D1AFD">
        <w:rPr>
          <w:szCs w:val="22"/>
          <w:lang w:val="es-CO"/>
        </w:rPr>
        <w:t xml:space="preserve">. </w:t>
      </w:r>
    </w:p>
    <w:p w:rsidR="008149CB" w:rsidRDefault="008149CB" w:rsidP="008149CB">
      <w:pPr>
        <w:jc w:val="both"/>
        <w:rPr>
          <w:rFonts w:cstheme="minorHAnsi"/>
          <w:lang w:val="es-CO"/>
        </w:rPr>
      </w:pPr>
    </w:p>
    <w:p w:rsidR="00423FB0" w:rsidRPr="007D1AFD" w:rsidRDefault="00423FB0" w:rsidP="008149CB">
      <w:pPr>
        <w:jc w:val="both"/>
        <w:rPr>
          <w:rFonts w:cstheme="minorHAnsi"/>
          <w:lang w:val="es-CO"/>
        </w:rPr>
      </w:pPr>
      <w:r>
        <w:rPr>
          <w:rFonts w:cstheme="minorHAnsi"/>
          <w:lang w:val="es-CO"/>
        </w:rPr>
        <w:t xml:space="preserve">Los principales temas de consulta fueron </w:t>
      </w:r>
      <w:r w:rsidR="00EF2C65">
        <w:rPr>
          <w:rFonts w:cstheme="minorHAnsi"/>
          <w:lang w:val="es-CO"/>
        </w:rPr>
        <w:t xml:space="preserve">relacionadas con la obligación por parte de los sujetos de carácter privado con funciones públicas, administración de recursos públicos y prestación de servicios públicos, así como la aclaración del tipo de información que se debe publicar, especialmente relacionados con los instrumentos de gestión documental. </w:t>
      </w:r>
    </w:p>
    <w:p w:rsidR="008149CB" w:rsidRPr="007D1AFD" w:rsidRDefault="008149CB" w:rsidP="008149CB">
      <w:pPr>
        <w:jc w:val="both"/>
        <w:rPr>
          <w:rFonts w:cstheme="minorHAnsi"/>
          <w:lang w:val="es-CO"/>
        </w:rPr>
      </w:pPr>
    </w:p>
    <w:p w:rsidR="008149CB" w:rsidRPr="008149CB" w:rsidRDefault="008149CB" w:rsidP="008149CB">
      <w:pPr>
        <w:jc w:val="both"/>
        <w:rPr>
          <w:rFonts w:cstheme="minorHAnsi"/>
          <w:lang w:val="es-CO"/>
        </w:rPr>
      </w:pPr>
    </w:p>
    <w:p w:rsidR="00BA4E4A" w:rsidRDefault="00BA4E4A" w:rsidP="00BA4E4A">
      <w:pPr>
        <w:pStyle w:val="Prrafodelista"/>
        <w:numPr>
          <w:ilvl w:val="0"/>
          <w:numId w:val="16"/>
        </w:numPr>
        <w:spacing w:line="276" w:lineRule="auto"/>
        <w:contextualSpacing w:val="0"/>
        <w:jc w:val="both"/>
        <w:rPr>
          <w:rFonts w:ascii="Garamond" w:hAnsi="Garamond" w:cstheme="minorHAnsi"/>
          <w:b/>
        </w:rPr>
      </w:pPr>
      <w:r>
        <w:rPr>
          <w:rFonts w:ascii="Garamond" w:hAnsi="Garamond" w:cstheme="minorHAnsi"/>
          <w:b/>
        </w:rPr>
        <w:t>ARTICULACIÓN INTERINSTITUCIONAL</w:t>
      </w:r>
    </w:p>
    <w:p w:rsidR="00BA4E4A" w:rsidRDefault="00BA4E4A" w:rsidP="00BA4E4A">
      <w:pPr>
        <w:spacing w:line="276" w:lineRule="auto"/>
        <w:jc w:val="both"/>
        <w:rPr>
          <w:rFonts w:cstheme="minorHAnsi"/>
          <w:b/>
        </w:rPr>
      </w:pPr>
    </w:p>
    <w:p w:rsidR="00BA4E4A" w:rsidRPr="00BA4E4A" w:rsidRDefault="00BA4E4A" w:rsidP="00BA4E4A">
      <w:pPr>
        <w:jc w:val="both"/>
        <w:rPr>
          <w:rFonts w:cstheme="minorHAnsi"/>
          <w:lang w:val="es-CO"/>
        </w:rPr>
      </w:pPr>
      <w:r w:rsidRPr="00BA4E4A">
        <w:rPr>
          <w:rFonts w:cstheme="minorHAnsi"/>
          <w:lang w:val="es-CO"/>
        </w:rPr>
        <w:t>Dentro de este punto se destacan tres procesos distintos:</w:t>
      </w:r>
    </w:p>
    <w:p w:rsidR="00BA4E4A" w:rsidRPr="00BA4E4A" w:rsidRDefault="00BA4E4A" w:rsidP="00BA4E4A">
      <w:pPr>
        <w:jc w:val="both"/>
        <w:rPr>
          <w:rFonts w:cstheme="minorHAnsi"/>
          <w:lang w:val="es-CO"/>
        </w:rPr>
      </w:pPr>
    </w:p>
    <w:p w:rsidR="00BA4E4A" w:rsidRPr="00BA4E4A" w:rsidRDefault="00BA4E4A" w:rsidP="00BA4E4A">
      <w:pPr>
        <w:pStyle w:val="Prrafodelista"/>
        <w:numPr>
          <w:ilvl w:val="0"/>
          <w:numId w:val="22"/>
        </w:numPr>
        <w:spacing w:line="276" w:lineRule="auto"/>
        <w:contextualSpacing w:val="0"/>
        <w:jc w:val="both"/>
        <w:rPr>
          <w:rFonts w:ascii="Garamond" w:hAnsi="Garamond" w:cstheme="minorHAnsi"/>
        </w:rPr>
      </w:pPr>
      <w:r w:rsidRPr="00BA4E4A">
        <w:rPr>
          <w:rFonts w:ascii="Garamond" w:hAnsi="Garamond" w:cstheme="minorHAnsi"/>
        </w:rPr>
        <w:t>Coordinación interinstitucional entre la Procuraduría y las entidades líderes de la política pública de transparencia y acceso a información pública.</w:t>
      </w:r>
    </w:p>
    <w:p w:rsidR="00BA4E4A" w:rsidRPr="00BA4E4A" w:rsidRDefault="00BA4E4A" w:rsidP="00BA4E4A">
      <w:pPr>
        <w:pStyle w:val="Prrafodelista"/>
        <w:numPr>
          <w:ilvl w:val="0"/>
          <w:numId w:val="22"/>
        </w:numPr>
        <w:spacing w:line="276" w:lineRule="auto"/>
        <w:contextualSpacing w:val="0"/>
        <w:jc w:val="both"/>
        <w:rPr>
          <w:rFonts w:ascii="Garamond" w:hAnsi="Garamond" w:cstheme="minorHAnsi"/>
        </w:rPr>
      </w:pPr>
      <w:r w:rsidRPr="00BA4E4A">
        <w:rPr>
          <w:rFonts w:ascii="Garamond" w:hAnsi="Garamond" w:cstheme="minorHAnsi"/>
        </w:rPr>
        <w:t>Comité Interinstitucional de Transparencia y el Acceso a la Información del Ministerio Público.</w:t>
      </w:r>
    </w:p>
    <w:p w:rsidR="00BA4E4A" w:rsidRPr="00BA4E4A" w:rsidRDefault="00BA4E4A" w:rsidP="00BA4E4A">
      <w:pPr>
        <w:pStyle w:val="Prrafodelista"/>
        <w:numPr>
          <w:ilvl w:val="0"/>
          <w:numId w:val="22"/>
        </w:numPr>
        <w:spacing w:line="276" w:lineRule="auto"/>
        <w:contextualSpacing w:val="0"/>
        <w:jc w:val="both"/>
        <w:rPr>
          <w:rFonts w:ascii="Garamond" w:hAnsi="Garamond" w:cstheme="minorHAnsi"/>
        </w:rPr>
      </w:pPr>
      <w:r w:rsidRPr="00BA4E4A">
        <w:rPr>
          <w:rFonts w:ascii="Garamond" w:hAnsi="Garamond" w:cstheme="minorHAnsi"/>
        </w:rPr>
        <w:t xml:space="preserve">Actividades de cooperación internacional dentro de las cuales se encuentran: </w:t>
      </w:r>
      <w:r w:rsidRPr="00BA4E4A">
        <w:rPr>
          <w:rFonts w:ascii="Garamond" w:hAnsi="Garamond" w:cstheme="minorHAnsi"/>
          <w:b/>
        </w:rPr>
        <w:t xml:space="preserve">a) </w:t>
      </w:r>
      <w:r w:rsidRPr="00BA4E4A">
        <w:rPr>
          <w:rFonts w:ascii="Garamond" w:hAnsi="Garamond" w:cstheme="minorHAnsi"/>
        </w:rPr>
        <w:t>la participación de la Procuraduría en la Red de Transparencia y Acceso a la Información Pública (RTA) como miembro adherente, y b) el desarrollo de proyectos de cooperación internacional a través del Proyecto ACTUE de la FIIAPP y la Comunidad Europea.</w:t>
      </w:r>
    </w:p>
    <w:p w:rsidR="00BA4E4A" w:rsidRDefault="00BA4E4A" w:rsidP="00BA4E4A">
      <w:pPr>
        <w:jc w:val="both"/>
        <w:rPr>
          <w:rFonts w:cstheme="minorHAnsi"/>
          <w:lang w:val="es-CO"/>
        </w:rPr>
      </w:pPr>
    </w:p>
    <w:p w:rsidR="00163B10" w:rsidRDefault="00163B10" w:rsidP="00BA4E4A">
      <w:pPr>
        <w:jc w:val="both"/>
        <w:rPr>
          <w:rFonts w:cstheme="minorHAnsi"/>
          <w:lang w:val="es-CO"/>
        </w:rPr>
      </w:pPr>
    </w:p>
    <w:p w:rsidR="00163B10" w:rsidRDefault="00163B10" w:rsidP="00BA4E4A">
      <w:pPr>
        <w:jc w:val="both"/>
        <w:rPr>
          <w:rFonts w:cstheme="minorHAnsi"/>
          <w:lang w:val="es-CO"/>
        </w:rPr>
      </w:pPr>
    </w:p>
    <w:p w:rsidR="00163B10" w:rsidRDefault="00163B10" w:rsidP="00BA4E4A">
      <w:pPr>
        <w:jc w:val="both"/>
        <w:rPr>
          <w:rFonts w:cstheme="minorHAnsi"/>
          <w:lang w:val="es-CO"/>
        </w:rPr>
      </w:pPr>
    </w:p>
    <w:p w:rsidR="00163B10" w:rsidRPr="00BA4E4A" w:rsidRDefault="00163B10" w:rsidP="00BA4E4A">
      <w:pPr>
        <w:jc w:val="both"/>
        <w:rPr>
          <w:rFonts w:cstheme="minorHAnsi"/>
          <w:lang w:val="es-CO"/>
        </w:rPr>
      </w:pPr>
    </w:p>
    <w:p w:rsidR="00BA4E4A" w:rsidRPr="00BA4E4A" w:rsidRDefault="00BA4E4A" w:rsidP="00BA4E4A">
      <w:pPr>
        <w:pStyle w:val="Prrafodelista"/>
        <w:numPr>
          <w:ilvl w:val="0"/>
          <w:numId w:val="24"/>
        </w:numPr>
        <w:spacing w:line="276" w:lineRule="auto"/>
        <w:contextualSpacing w:val="0"/>
        <w:jc w:val="both"/>
        <w:rPr>
          <w:rFonts w:ascii="Garamond" w:hAnsi="Garamond" w:cstheme="minorHAnsi"/>
          <w:b/>
          <w:u w:val="single"/>
        </w:rPr>
      </w:pPr>
      <w:r w:rsidRPr="00BA4E4A">
        <w:rPr>
          <w:rFonts w:ascii="Garamond" w:hAnsi="Garamond" w:cstheme="minorHAnsi"/>
          <w:b/>
          <w:u w:val="single"/>
        </w:rPr>
        <w:t>Coordinación interinstitucional con entidades líderes de política pública.</w:t>
      </w:r>
    </w:p>
    <w:p w:rsidR="00BA4E4A" w:rsidRPr="00BA4E4A" w:rsidRDefault="00BA4E4A" w:rsidP="00BA4E4A">
      <w:pPr>
        <w:jc w:val="both"/>
        <w:rPr>
          <w:rFonts w:cstheme="minorHAnsi"/>
          <w:lang w:val="es-CO"/>
        </w:rPr>
      </w:pPr>
    </w:p>
    <w:p w:rsidR="00BA4E4A" w:rsidRPr="00BA4E4A" w:rsidRDefault="00BA4E4A" w:rsidP="00BA4E4A">
      <w:pPr>
        <w:jc w:val="both"/>
        <w:rPr>
          <w:rFonts w:cstheme="minorHAnsi"/>
          <w:lang w:val="es-CO"/>
        </w:rPr>
      </w:pPr>
      <w:r w:rsidRPr="00BA4E4A">
        <w:rPr>
          <w:rFonts w:cstheme="minorHAnsi"/>
          <w:lang w:val="es-CO"/>
        </w:rPr>
        <w:t>Desde el principio del año 2016 la Secretaría de Transparencia lidera una iniciativa que busca coordinar esfuerzos entre todas las instituciones involucradas en la implementación de la Ley 1712 de 2014, para lo cual plantea las siguientes líneas estratégicas:</w:t>
      </w:r>
    </w:p>
    <w:p w:rsidR="00BA4E4A" w:rsidRPr="00BA4E4A" w:rsidRDefault="00BA4E4A" w:rsidP="00BA4E4A">
      <w:pPr>
        <w:jc w:val="both"/>
        <w:rPr>
          <w:rFonts w:cstheme="minorHAnsi"/>
          <w:lang w:val="es-CO"/>
        </w:rPr>
      </w:pPr>
    </w:p>
    <w:p w:rsidR="00BA4E4A" w:rsidRPr="00BA4E4A" w:rsidRDefault="00BA4E4A" w:rsidP="00BA4E4A">
      <w:pPr>
        <w:pStyle w:val="Prrafodelista"/>
        <w:numPr>
          <w:ilvl w:val="0"/>
          <w:numId w:val="20"/>
        </w:numPr>
        <w:spacing w:line="276" w:lineRule="auto"/>
        <w:contextualSpacing w:val="0"/>
        <w:jc w:val="both"/>
        <w:rPr>
          <w:rFonts w:ascii="Garamond" w:hAnsi="Garamond" w:cstheme="minorHAnsi"/>
        </w:rPr>
      </w:pPr>
      <w:r w:rsidRPr="00BA4E4A">
        <w:rPr>
          <w:rFonts w:ascii="Garamond" w:hAnsi="Garamond" w:cstheme="minorHAnsi"/>
        </w:rPr>
        <w:t>Definición y ajuste de lineamientos de política.</w:t>
      </w:r>
    </w:p>
    <w:p w:rsidR="00BA4E4A" w:rsidRPr="00BA4E4A" w:rsidRDefault="00BA4E4A" w:rsidP="00BA4E4A">
      <w:pPr>
        <w:pStyle w:val="Prrafodelista"/>
        <w:numPr>
          <w:ilvl w:val="0"/>
          <w:numId w:val="20"/>
        </w:numPr>
        <w:spacing w:line="276" w:lineRule="auto"/>
        <w:contextualSpacing w:val="0"/>
        <w:jc w:val="both"/>
        <w:rPr>
          <w:rFonts w:ascii="Garamond" w:hAnsi="Garamond" w:cstheme="minorHAnsi"/>
        </w:rPr>
      </w:pPr>
      <w:r w:rsidRPr="00BA4E4A">
        <w:rPr>
          <w:rFonts w:ascii="Garamond" w:hAnsi="Garamond" w:cstheme="minorHAnsi"/>
        </w:rPr>
        <w:t>Promoción y acompañamiento (sujetos tradicionales y no tradicionales).</w:t>
      </w:r>
    </w:p>
    <w:p w:rsidR="00BA4E4A" w:rsidRPr="00BA4E4A" w:rsidRDefault="00BA4E4A" w:rsidP="00BA4E4A">
      <w:pPr>
        <w:pStyle w:val="Prrafodelista"/>
        <w:numPr>
          <w:ilvl w:val="0"/>
          <w:numId w:val="20"/>
        </w:numPr>
        <w:spacing w:line="276" w:lineRule="auto"/>
        <w:contextualSpacing w:val="0"/>
        <w:jc w:val="both"/>
        <w:rPr>
          <w:rFonts w:ascii="Garamond" w:hAnsi="Garamond" w:cstheme="minorHAnsi"/>
        </w:rPr>
      </w:pPr>
      <w:r w:rsidRPr="00BA4E4A">
        <w:rPr>
          <w:rFonts w:ascii="Garamond" w:hAnsi="Garamond" w:cstheme="minorHAnsi"/>
        </w:rPr>
        <w:t>Monitoreo y evaluación.</w:t>
      </w:r>
    </w:p>
    <w:p w:rsidR="00BA4E4A" w:rsidRPr="00BA4E4A" w:rsidRDefault="00BA4E4A" w:rsidP="00BA4E4A">
      <w:pPr>
        <w:pStyle w:val="Prrafodelista"/>
        <w:numPr>
          <w:ilvl w:val="0"/>
          <w:numId w:val="20"/>
        </w:numPr>
        <w:spacing w:line="276" w:lineRule="auto"/>
        <w:contextualSpacing w:val="0"/>
        <w:jc w:val="both"/>
        <w:rPr>
          <w:rFonts w:ascii="Garamond" w:hAnsi="Garamond" w:cstheme="minorHAnsi"/>
        </w:rPr>
      </w:pPr>
      <w:r w:rsidRPr="00BA4E4A">
        <w:rPr>
          <w:rFonts w:ascii="Garamond" w:hAnsi="Garamond" w:cstheme="minorHAnsi"/>
        </w:rPr>
        <w:t>Herramientas e instrumentos. (Transversal 1)</w:t>
      </w:r>
    </w:p>
    <w:p w:rsidR="00BA4E4A" w:rsidRPr="00BA4E4A" w:rsidRDefault="00BA4E4A" w:rsidP="00BA4E4A">
      <w:pPr>
        <w:pStyle w:val="Prrafodelista"/>
        <w:numPr>
          <w:ilvl w:val="0"/>
          <w:numId w:val="20"/>
        </w:numPr>
        <w:spacing w:line="276" w:lineRule="auto"/>
        <w:contextualSpacing w:val="0"/>
        <w:jc w:val="both"/>
        <w:rPr>
          <w:rFonts w:ascii="Garamond" w:hAnsi="Garamond" w:cstheme="minorHAnsi"/>
        </w:rPr>
      </w:pPr>
      <w:r w:rsidRPr="00BA4E4A">
        <w:rPr>
          <w:rFonts w:ascii="Garamond" w:hAnsi="Garamond" w:cstheme="minorHAnsi"/>
        </w:rPr>
        <w:t>Comunicaciones (Transversal 2)</w:t>
      </w:r>
    </w:p>
    <w:p w:rsidR="00BA4E4A" w:rsidRPr="00BA4E4A" w:rsidRDefault="00BA4E4A" w:rsidP="00BA4E4A">
      <w:pPr>
        <w:pStyle w:val="Prrafodelista"/>
        <w:numPr>
          <w:ilvl w:val="0"/>
          <w:numId w:val="20"/>
        </w:numPr>
        <w:spacing w:line="276" w:lineRule="auto"/>
        <w:contextualSpacing w:val="0"/>
        <w:jc w:val="both"/>
        <w:rPr>
          <w:rFonts w:ascii="Garamond" w:hAnsi="Garamond" w:cstheme="minorHAnsi"/>
        </w:rPr>
      </w:pPr>
      <w:r w:rsidRPr="00BA4E4A">
        <w:rPr>
          <w:rFonts w:ascii="Garamond" w:hAnsi="Garamond" w:cstheme="minorHAnsi"/>
        </w:rPr>
        <w:t>Coordinación interinstitucional (Transversal 3 )</w:t>
      </w:r>
    </w:p>
    <w:p w:rsidR="00BA4E4A" w:rsidRPr="00BA4E4A" w:rsidRDefault="00BA4E4A" w:rsidP="00BA4E4A">
      <w:pPr>
        <w:pStyle w:val="Prrafodelista"/>
        <w:numPr>
          <w:ilvl w:val="0"/>
          <w:numId w:val="21"/>
        </w:numPr>
        <w:spacing w:line="276" w:lineRule="auto"/>
        <w:contextualSpacing w:val="0"/>
        <w:jc w:val="both"/>
        <w:rPr>
          <w:rFonts w:ascii="Garamond" w:hAnsi="Garamond" w:cstheme="minorHAnsi"/>
        </w:rPr>
      </w:pPr>
      <w:r w:rsidRPr="00BA4E4A">
        <w:rPr>
          <w:rFonts w:ascii="Garamond" w:hAnsi="Garamond" w:cstheme="minorHAnsi"/>
        </w:rPr>
        <w:t xml:space="preserve">Plan de acción para la coordinación interinstitucional de la política pública </w:t>
      </w:r>
    </w:p>
    <w:p w:rsidR="00BA4E4A" w:rsidRPr="00BA4E4A" w:rsidRDefault="00BA4E4A" w:rsidP="00BA4E4A">
      <w:pPr>
        <w:pStyle w:val="Prrafodelista"/>
        <w:numPr>
          <w:ilvl w:val="0"/>
          <w:numId w:val="21"/>
        </w:numPr>
        <w:spacing w:line="276" w:lineRule="auto"/>
        <w:contextualSpacing w:val="0"/>
        <w:jc w:val="both"/>
        <w:rPr>
          <w:rFonts w:ascii="Garamond" w:hAnsi="Garamond" w:cstheme="minorHAnsi"/>
        </w:rPr>
      </w:pPr>
      <w:r w:rsidRPr="00BA4E4A">
        <w:rPr>
          <w:rFonts w:ascii="Garamond" w:hAnsi="Garamond" w:cstheme="minorHAnsi"/>
        </w:rPr>
        <w:t xml:space="preserve">Competencias de los líderes de la política de acceso a la información pública </w:t>
      </w:r>
    </w:p>
    <w:p w:rsidR="00BA4E4A" w:rsidRPr="00BA4E4A" w:rsidRDefault="00BA4E4A" w:rsidP="00BA4E4A">
      <w:pPr>
        <w:pStyle w:val="Prrafodelista"/>
        <w:numPr>
          <w:ilvl w:val="0"/>
          <w:numId w:val="21"/>
        </w:numPr>
        <w:spacing w:line="276" w:lineRule="auto"/>
        <w:contextualSpacing w:val="0"/>
        <w:jc w:val="both"/>
        <w:rPr>
          <w:rFonts w:ascii="Garamond" w:hAnsi="Garamond" w:cstheme="minorHAnsi"/>
        </w:rPr>
      </w:pPr>
      <w:r w:rsidRPr="00BA4E4A">
        <w:rPr>
          <w:rFonts w:ascii="Garamond" w:hAnsi="Garamond" w:cstheme="minorHAnsi"/>
        </w:rPr>
        <w:t>Seguimiento a la implementación de la Ley 1712 de 2014 por parte de entidades líderes de política pública</w:t>
      </w:r>
    </w:p>
    <w:p w:rsidR="00BA4E4A" w:rsidRPr="00BA4E4A" w:rsidRDefault="00BA4E4A" w:rsidP="00BA4E4A">
      <w:pPr>
        <w:pStyle w:val="Prrafodelista"/>
        <w:numPr>
          <w:ilvl w:val="0"/>
          <w:numId w:val="21"/>
        </w:numPr>
        <w:spacing w:line="276" w:lineRule="auto"/>
        <w:contextualSpacing w:val="0"/>
        <w:jc w:val="both"/>
        <w:rPr>
          <w:rFonts w:ascii="Garamond" w:hAnsi="Garamond" w:cstheme="minorHAnsi"/>
        </w:rPr>
      </w:pPr>
      <w:r w:rsidRPr="00BA4E4A">
        <w:rPr>
          <w:rFonts w:ascii="Garamond" w:hAnsi="Garamond" w:cstheme="minorHAnsi"/>
        </w:rPr>
        <w:t xml:space="preserve">Plan de acción 2016 Comité Interinstitucional del Ministerio Público </w:t>
      </w:r>
    </w:p>
    <w:p w:rsidR="00BA4E4A" w:rsidRPr="00BA4E4A" w:rsidRDefault="00BA4E4A" w:rsidP="00BA4E4A">
      <w:pPr>
        <w:pStyle w:val="Prrafodelista"/>
        <w:numPr>
          <w:ilvl w:val="0"/>
          <w:numId w:val="21"/>
        </w:numPr>
        <w:spacing w:line="276" w:lineRule="auto"/>
        <w:contextualSpacing w:val="0"/>
        <w:jc w:val="both"/>
        <w:rPr>
          <w:rFonts w:ascii="Garamond" w:hAnsi="Garamond" w:cstheme="minorHAnsi"/>
        </w:rPr>
      </w:pPr>
      <w:r w:rsidRPr="00BA4E4A">
        <w:rPr>
          <w:rFonts w:ascii="Garamond" w:hAnsi="Garamond" w:cstheme="minorHAnsi"/>
        </w:rPr>
        <w:t>Articulación rectores de política</w:t>
      </w:r>
    </w:p>
    <w:p w:rsidR="00BA4E4A" w:rsidRPr="00BA4E4A" w:rsidRDefault="00BA4E4A" w:rsidP="00BA4E4A">
      <w:pPr>
        <w:jc w:val="both"/>
        <w:rPr>
          <w:rFonts w:cstheme="minorHAnsi"/>
          <w:lang w:val="es-CO"/>
        </w:rPr>
      </w:pPr>
    </w:p>
    <w:p w:rsidR="00BA4E4A" w:rsidRPr="00BA4E4A" w:rsidRDefault="00BA4E4A" w:rsidP="00BA4E4A">
      <w:pPr>
        <w:jc w:val="both"/>
        <w:rPr>
          <w:rFonts w:cstheme="minorHAnsi"/>
          <w:lang w:val="es-CO"/>
        </w:rPr>
      </w:pPr>
      <w:r w:rsidRPr="00BA4E4A">
        <w:rPr>
          <w:rFonts w:cstheme="minorHAnsi"/>
          <w:lang w:val="es-CO"/>
        </w:rPr>
        <w:t xml:space="preserve">Dentro de este ejercicio el Grupo de Transparencia y Acceso a la Información Pública participó de las reuniones convocadas por la Secretaría de Transparencia para el análisis del plan propuesto. </w:t>
      </w:r>
    </w:p>
    <w:p w:rsidR="00BA4E4A" w:rsidRPr="00BA4E4A" w:rsidRDefault="00BA4E4A" w:rsidP="00BA4E4A">
      <w:pPr>
        <w:jc w:val="both"/>
        <w:rPr>
          <w:rFonts w:cstheme="minorHAnsi"/>
          <w:lang w:val="es-CO"/>
        </w:rPr>
      </w:pPr>
    </w:p>
    <w:p w:rsidR="00BA4E4A" w:rsidRPr="00BA4E4A" w:rsidRDefault="00BA4E4A" w:rsidP="00BA4E4A">
      <w:pPr>
        <w:jc w:val="both"/>
        <w:rPr>
          <w:rFonts w:cstheme="minorHAnsi"/>
          <w:lang w:val="es-CO"/>
        </w:rPr>
      </w:pPr>
      <w:r w:rsidRPr="00BA4E4A">
        <w:rPr>
          <w:rFonts w:cstheme="minorHAnsi"/>
          <w:lang w:val="es-CO"/>
        </w:rPr>
        <w:t xml:space="preserve">En cuanto al ítem Transversal, “herramientas e instrumentos” podemos informar que la Secretaría de Transparencia desarrolló y estructuró, con el apoyo de las demás entidades de política pública y del Ministerio Público, los términos de referencia para la contratación de una firma de consultoría para el diseño de una estrategia de formación e indicadores de evaluación de la ley de transparencia y acceso a la información pública de </w:t>
      </w:r>
      <w:r>
        <w:rPr>
          <w:rFonts w:cstheme="minorHAnsi"/>
          <w:lang w:val="es-CO"/>
        </w:rPr>
        <w:t>C</w:t>
      </w:r>
      <w:r w:rsidRPr="00BA4E4A">
        <w:rPr>
          <w:rFonts w:cstheme="minorHAnsi"/>
          <w:lang w:val="es-CO"/>
        </w:rPr>
        <w:t>olombia, con recursos de cooperación de la Unión Europea dentro del marco del programa ACTUE.</w:t>
      </w:r>
    </w:p>
    <w:p w:rsidR="00BA4E4A" w:rsidRPr="00BA4E4A" w:rsidRDefault="00BA4E4A" w:rsidP="00BA4E4A">
      <w:pPr>
        <w:jc w:val="both"/>
        <w:rPr>
          <w:rFonts w:cstheme="minorHAnsi"/>
          <w:lang w:val="es-CO"/>
        </w:rPr>
      </w:pPr>
    </w:p>
    <w:p w:rsidR="00BA4E4A" w:rsidRPr="00BA4E4A" w:rsidRDefault="00BA4E4A" w:rsidP="00BA4E4A">
      <w:pPr>
        <w:jc w:val="both"/>
        <w:rPr>
          <w:rFonts w:cstheme="minorHAnsi"/>
          <w:lang w:val="es-CO"/>
        </w:rPr>
      </w:pPr>
      <w:r w:rsidRPr="00BA4E4A">
        <w:rPr>
          <w:rFonts w:cstheme="minorHAnsi"/>
          <w:lang w:val="es-CO"/>
        </w:rPr>
        <w:t>Nuestro grupo posteriormente fue consultado por la firma elegida hasta el mes de Junio dentro de las actividades de pesquisa de información y posteriormente para presentarnos un borrador de inventario de recursos y actividades de capacitación.</w:t>
      </w:r>
    </w:p>
    <w:p w:rsidR="00BA4E4A" w:rsidRPr="00BA4E4A" w:rsidRDefault="00BA4E4A" w:rsidP="00BA4E4A">
      <w:pPr>
        <w:jc w:val="both"/>
        <w:rPr>
          <w:rFonts w:cstheme="minorHAnsi"/>
          <w:lang w:val="es-CO"/>
        </w:rPr>
      </w:pPr>
    </w:p>
    <w:p w:rsidR="00BA4E4A" w:rsidRPr="00BA4E4A" w:rsidRDefault="00BA4E4A" w:rsidP="00BA4E4A">
      <w:pPr>
        <w:pStyle w:val="Prrafodelista"/>
        <w:numPr>
          <w:ilvl w:val="0"/>
          <w:numId w:val="24"/>
        </w:numPr>
        <w:spacing w:line="276" w:lineRule="auto"/>
        <w:contextualSpacing w:val="0"/>
        <w:jc w:val="both"/>
        <w:rPr>
          <w:rFonts w:ascii="Garamond" w:hAnsi="Garamond" w:cstheme="minorHAnsi"/>
          <w:b/>
          <w:u w:val="single"/>
        </w:rPr>
      </w:pPr>
      <w:r w:rsidRPr="00BA4E4A">
        <w:rPr>
          <w:rFonts w:ascii="Garamond" w:hAnsi="Garamond" w:cstheme="minorHAnsi"/>
          <w:b/>
          <w:u w:val="single"/>
        </w:rPr>
        <w:t>Comité Interinstitucional de Transparencia y el Acceso a la Información del Ministerio Público.</w:t>
      </w:r>
    </w:p>
    <w:p w:rsidR="00BA4E4A" w:rsidRPr="00BA4E4A" w:rsidRDefault="00BA4E4A" w:rsidP="00BA4E4A">
      <w:pPr>
        <w:jc w:val="both"/>
        <w:rPr>
          <w:rFonts w:cstheme="minorHAnsi"/>
          <w:lang w:val="es-CO"/>
        </w:rPr>
      </w:pPr>
    </w:p>
    <w:p w:rsidR="00BA4E4A" w:rsidRPr="00BA4E4A" w:rsidRDefault="00BA4E4A" w:rsidP="00BA4E4A">
      <w:pPr>
        <w:jc w:val="both"/>
        <w:rPr>
          <w:rFonts w:cstheme="minorHAnsi"/>
          <w:lang w:val="es-CO"/>
        </w:rPr>
      </w:pPr>
      <w:r w:rsidRPr="00BA4E4A">
        <w:rPr>
          <w:rFonts w:cstheme="minorHAnsi"/>
          <w:lang w:val="es-CO"/>
        </w:rPr>
        <w:t>La reunión del comité fue convocada para el día 20 de enero pero no se pudo llevar a cabo porque el Sr. Defensor Delegado para Asuntos Constitucionales y Legales del Pueblo renunció a su cargo el mismo día. Desafortunadamente la reunión no se ha podido reprogramar. De la Federación Nacional de Personeros no se recibido respuesta de las acciones que se plantea adelantar durante 2016 en transparencia y acceso a información pública.</w:t>
      </w:r>
    </w:p>
    <w:p w:rsidR="00BA4E4A" w:rsidRPr="00BA4E4A" w:rsidRDefault="00BA4E4A" w:rsidP="00BA4E4A">
      <w:pPr>
        <w:jc w:val="both"/>
        <w:rPr>
          <w:rFonts w:cstheme="minorHAnsi"/>
          <w:lang w:val="es-CO"/>
        </w:rPr>
      </w:pPr>
    </w:p>
    <w:p w:rsidR="00BA4E4A" w:rsidRPr="00BA4E4A" w:rsidRDefault="00BA4E4A" w:rsidP="00BA4E4A">
      <w:pPr>
        <w:pStyle w:val="Prrafodelista"/>
        <w:numPr>
          <w:ilvl w:val="0"/>
          <w:numId w:val="24"/>
        </w:numPr>
        <w:spacing w:line="276" w:lineRule="auto"/>
        <w:contextualSpacing w:val="0"/>
        <w:jc w:val="both"/>
        <w:rPr>
          <w:rFonts w:ascii="Garamond" w:hAnsi="Garamond" w:cstheme="minorHAnsi"/>
          <w:b/>
          <w:u w:val="single"/>
        </w:rPr>
      </w:pPr>
      <w:r w:rsidRPr="00BA4E4A">
        <w:rPr>
          <w:rFonts w:ascii="Garamond" w:hAnsi="Garamond" w:cstheme="minorHAnsi"/>
          <w:b/>
          <w:u w:val="single"/>
        </w:rPr>
        <w:t>Actividades de cooperación internacional.</w:t>
      </w:r>
    </w:p>
    <w:p w:rsidR="00BA4E4A" w:rsidRPr="00BA4E4A" w:rsidRDefault="00BA4E4A" w:rsidP="00BA4E4A">
      <w:pPr>
        <w:jc w:val="both"/>
        <w:rPr>
          <w:rFonts w:cstheme="minorHAnsi"/>
          <w:lang w:val="es-CO"/>
        </w:rPr>
      </w:pPr>
    </w:p>
    <w:p w:rsidR="00BA4E4A" w:rsidRPr="00BA4E4A" w:rsidRDefault="00BA4E4A" w:rsidP="00BA4E4A">
      <w:pPr>
        <w:pStyle w:val="Prrafodelista"/>
        <w:numPr>
          <w:ilvl w:val="0"/>
          <w:numId w:val="23"/>
        </w:numPr>
        <w:spacing w:line="276" w:lineRule="auto"/>
        <w:contextualSpacing w:val="0"/>
        <w:jc w:val="both"/>
        <w:rPr>
          <w:rFonts w:ascii="Garamond" w:hAnsi="Garamond" w:cstheme="minorHAnsi"/>
        </w:rPr>
      </w:pPr>
      <w:r w:rsidRPr="00BA4E4A">
        <w:rPr>
          <w:rFonts w:ascii="Garamond" w:hAnsi="Garamond" w:cstheme="minorHAnsi"/>
        </w:rPr>
        <w:t>Participación de la Procuraduría en la Red de Transparencia y Acceso a la Información Pública (RTA) como miembro adherente:</w:t>
      </w:r>
    </w:p>
    <w:p w:rsidR="00BA4E4A" w:rsidRPr="00BA4E4A" w:rsidRDefault="00BA4E4A" w:rsidP="00BA4E4A">
      <w:pPr>
        <w:jc w:val="both"/>
        <w:rPr>
          <w:rFonts w:cstheme="minorHAnsi"/>
          <w:lang w:val="es-CO"/>
        </w:rPr>
      </w:pPr>
    </w:p>
    <w:p w:rsidR="00BA4E4A" w:rsidRPr="00BA4E4A" w:rsidRDefault="00BA4E4A" w:rsidP="00BA4E4A">
      <w:pPr>
        <w:pStyle w:val="Prrafodelista"/>
        <w:numPr>
          <w:ilvl w:val="1"/>
          <w:numId w:val="23"/>
        </w:numPr>
        <w:spacing w:line="276" w:lineRule="auto"/>
        <w:contextualSpacing w:val="0"/>
        <w:jc w:val="both"/>
        <w:rPr>
          <w:rFonts w:ascii="Garamond" w:hAnsi="Garamond" w:cstheme="minorHAnsi"/>
        </w:rPr>
      </w:pPr>
      <w:r w:rsidRPr="00BA4E4A">
        <w:rPr>
          <w:rFonts w:ascii="Garamond" w:hAnsi="Garamond" w:cstheme="minorHAnsi"/>
        </w:rPr>
        <w:t xml:space="preserve">Participación en el XI Encuentro de la RTA realizado en la ciudad de Tegucigalpa, Honduras, en el cual la Procuraduría manifestó su interés en apoyar técnicamente a los grupos de trabajo de Jurisprudencia e Indicadores. </w:t>
      </w:r>
    </w:p>
    <w:p w:rsidR="00BA4E4A" w:rsidRPr="00BA4E4A" w:rsidRDefault="00BA4E4A" w:rsidP="00BA4E4A">
      <w:pPr>
        <w:pStyle w:val="Prrafodelista"/>
        <w:numPr>
          <w:ilvl w:val="1"/>
          <w:numId w:val="23"/>
        </w:numPr>
        <w:spacing w:line="276" w:lineRule="auto"/>
        <w:contextualSpacing w:val="0"/>
        <w:jc w:val="both"/>
        <w:rPr>
          <w:rFonts w:ascii="Garamond" w:hAnsi="Garamond" w:cstheme="minorHAnsi"/>
        </w:rPr>
      </w:pPr>
      <w:r w:rsidRPr="00BA4E4A">
        <w:rPr>
          <w:rFonts w:ascii="Garamond" w:hAnsi="Garamond" w:cstheme="minorHAnsi"/>
        </w:rPr>
        <w:lastRenderedPageBreak/>
        <w:t>Se llevó a cabo en la ciudad de Bogotá con cooperación de la Procuraduría, la Secretaría de Transparencia y la Relatoría para la Libertad de Expresión de la Comisión Interamericana de Derechos Humanos (RELE-CIDH) el III Seminario Internacional de la RTA sobre acceso a la información pública, junto con un taller sobre la política pública.</w:t>
      </w:r>
    </w:p>
    <w:p w:rsidR="00BA4E4A" w:rsidRPr="00BA4E4A" w:rsidRDefault="00BA4E4A" w:rsidP="00BA4E4A">
      <w:pPr>
        <w:pStyle w:val="Prrafodelista"/>
        <w:numPr>
          <w:ilvl w:val="1"/>
          <w:numId w:val="23"/>
        </w:numPr>
        <w:spacing w:line="276" w:lineRule="auto"/>
        <w:contextualSpacing w:val="0"/>
        <w:jc w:val="both"/>
        <w:rPr>
          <w:rFonts w:ascii="Garamond" w:hAnsi="Garamond" w:cstheme="minorHAnsi"/>
        </w:rPr>
      </w:pPr>
      <w:r w:rsidRPr="00BA4E4A">
        <w:rPr>
          <w:rFonts w:ascii="Garamond" w:hAnsi="Garamond" w:cstheme="minorHAnsi"/>
        </w:rPr>
        <w:t>Se confirmó el apoyo técnico de la Procuraduría para la elaboración, presentación y ejecución de proyectos que fortalezcan las políticas públicas de América Latina y el Caribe a través de la RTA.</w:t>
      </w:r>
    </w:p>
    <w:p w:rsidR="00BA4E4A" w:rsidRPr="00BA4E4A" w:rsidRDefault="00BA4E4A" w:rsidP="00BA4E4A">
      <w:pPr>
        <w:jc w:val="both"/>
        <w:rPr>
          <w:rFonts w:cstheme="minorHAnsi"/>
          <w:highlight w:val="yellow"/>
          <w:lang w:val="es-CO"/>
        </w:rPr>
      </w:pPr>
    </w:p>
    <w:p w:rsidR="00BA4E4A" w:rsidRPr="00BA4E4A" w:rsidRDefault="00BA4E4A" w:rsidP="00BA4E4A">
      <w:pPr>
        <w:pStyle w:val="Prrafodelista"/>
        <w:numPr>
          <w:ilvl w:val="0"/>
          <w:numId w:val="23"/>
        </w:numPr>
        <w:spacing w:line="276" w:lineRule="auto"/>
        <w:contextualSpacing w:val="0"/>
        <w:jc w:val="both"/>
        <w:rPr>
          <w:rFonts w:ascii="Garamond" w:hAnsi="Garamond" w:cstheme="minorHAnsi"/>
        </w:rPr>
      </w:pPr>
      <w:r w:rsidRPr="00BA4E4A">
        <w:rPr>
          <w:rFonts w:ascii="Garamond" w:hAnsi="Garamond" w:cstheme="minorHAnsi"/>
        </w:rPr>
        <w:t>Desarrollo de proyectos de cooperación internacional, en los cuales se destacan los siguientes:</w:t>
      </w:r>
    </w:p>
    <w:p w:rsidR="00BA4E4A" w:rsidRPr="00BA4E4A" w:rsidRDefault="00BA4E4A" w:rsidP="00BA4E4A">
      <w:pPr>
        <w:jc w:val="both"/>
        <w:rPr>
          <w:rFonts w:cstheme="minorHAnsi"/>
          <w:lang w:val="es-CO"/>
        </w:rPr>
      </w:pPr>
    </w:p>
    <w:p w:rsidR="00BA4E4A" w:rsidRPr="00BA4E4A" w:rsidRDefault="00BA4E4A" w:rsidP="00BA4E4A">
      <w:pPr>
        <w:pStyle w:val="Prrafodelista"/>
        <w:numPr>
          <w:ilvl w:val="1"/>
          <w:numId w:val="23"/>
        </w:numPr>
        <w:spacing w:line="276" w:lineRule="auto"/>
        <w:contextualSpacing w:val="0"/>
        <w:jc w:val="both"/>
        <w:rPr>
          <w:rFonts w:ascii="Garamond" w:hAnsi="Garamond" w:cstheme="minorHAnsi"/>
        </w:rPr>
      </w:pPr>
      <w:r w:rsidRPr="00BA4E4A">
        <w:rPr>
          <w:rFonts w:ascii="Garamond" w:hAnsi="Garamond" w:cstheme="minorHAnsi"/>
        </w:rPr>
        <w:t xml:space="preserve">Consultoría para diseño de una estrategia de formación e indicadores de evaluación de la ley de transparencia y acceso a la información pública de </w:t>
      </w:r>
      <w:r>
        <w:rPr>
          <w:rFonts w:ascii="Garamond" w:hAnsi="Garamond" w:cstheme="minorHAnsi"/>
        </w:rPr>
        <w:t>C</w:t>
      </w:r>
      <w:r w:rsidRPr="00BA4E4A">
        <w:rPr>
          <w:rFonts w:ascii="Garamond" w:hAnsi="Garamond" w:cstheme="minorHAnsi"/>
        </w:rPr>
        <w:t>olombia, con recursos de cooperación de la Unión Europea dentro del marco del proyecto de la Unión Europea “Fortalecimiento institucional de la capacidad colombiana para aumentar la integridad y la transparencia”.</w:t>
      </w:r>
    </w:p>
    <w:p w:rsidR="00BA4E4A" w:rsidRPr="00BA4E4A" w:rsidRDefault="00BA4E4A" w:rsidP="00BA4E4A">
      <w:pPr>
        <w:pStyle w:val="Prrafodelista"/>
        <w:ind w:left="1440"/>
        <w:jc w:val="both"/>
        <w:rPr>
          <w:rFonts w:ascii="Garamond" w:hAnsi="Garamond" w:cstheme="minorHAnsi"/>
        </w:rPr>
      </w:pPr>
    </w:p>
    <w:p w:rsidR="00BA4E4A" w:rsidRPr="00BA4E4A" w:rsidRDefault="00BA4E4A" w:rsidP="00BA4E4A">
      <w:pPr>
        <w:pStyle w:val="Prrafodelista"/>
        <w:ind w:left="1440"/>
        <w:jc w:val="both"/>
        <w:rPr>
          <w:rFonts w:ascii="Garamond" w:hAnsi="Garamond" w:cstheme="minorHAnsi"/>
        </w:rPr>
      </w:pPr>
      <w:r w:rsidRPr="00BA4E4A">
        <w:rPr>
          <w:rFonts w:ascii="Garamond" w:hAnsi="Garamond" w:cstheme="minorHAnsi"/>
        </w:rPr>
        <w:t xml:space="preserve">En el mes de junio, tal y como se menciona en el punto de coordinación interinstitucional, la firma SUSTENTIA, contratada para la ejecución de dicho proyecto, consultó al Grupo sobre la actividad de capacitaciones, ocasión en la que se reafirmó el papel del Ministerio Público según la normatividad y el de la Procuraduría General de la Nación en materia de capacitación y promoción de la Ley 1712 de 2014. </w:t>
      </w:r>
    </w:p>
    <w:p w:rsidR="00BA4E4A" w:rsidRPr="00BA4E4A" w:rsidRDefault="00BA4E4A" w:rsidP="00BA4E4A">
      <w:pPr>
        <w:pStyle w:val="Prrafodelista"/>
        <w:ind w:left="1440"/>
        <w:jc w:val="both"/>
        <w:rPr>
          <w:rFonts w:ascii="Garamond" w:hAnsi="Garamond" w:cstheme="minorHAnsi"/>
        </w:rPr>
      </w:pPr>
    </w:p>
    <w:p w:rsidR="00BA4E4A" w:rsidRPr="00BA4E4A" w:rsidRDefault="00BA4E4A" w:rsidP="00BA4E4A">
      <w:pPr>
        <w:pStyle w:val="Prrafodelista"/>
        <w:ind w:left="1440"/>
        <w:jc w:val="both"/>
        <w:rPr>
          <w:rFonts w:ascii="Garamond" w:hAnsi="Garamond" w:cstheme="minorHAnsi"/>
        </w:rPr>
      </w:pPr>
      <w:r w:rsidRPr="00BA4E4A">
        <w:rPr>
          <w:rFonts w:ascii="Garamond" w:hAnsi="Garamond" w:cstheme="minorHAnsi"/>
        </w:rPr>
        <w:t xml:space="preserve">Hasta el momento la mencionada firma tiene un borrador del inventario de las actividades y de los recursos de capacitación de todas las entidades. </w:t>
      </w:r>
    </w:p>
    <w:p w:rsidR="00BA4E4A" w:rsidRPr="00BA4E4A" w:rsidRDefault="00BA4E4A" w:rsidP="00BA4E4A">
      <w:pPr>
        <w:jc w:val="both"/>
        <w:rPr>
          <w:rFonts w:cstheme="minorHAnsi"/>
          <w:lang w:val="es-CO"/>
        </w:rPr>
      </w:pPr>
    </w:p>
    <w:p w:rsidR="00BA4E4A" w:rsidRPr="00BA4E4A" w:rsidRDefault="00BA4E4A" w:rsidP="00BA4E4A">
      <w:pPr>
        <w:pStyle w:val="Prrafodelista"/>
        <w:numPr>
          <w:ilvl w:val="1"/>
          <w:numId w:val="23"/>
        </w:numPr>
        <w:spacing w:line="276" w:lineRule="auto"/>
        <w:contextualSpacing w:val="0"/>
        <w:jc w:val="both"/>
        <w:rPr>
          <w:rFonts w:ascii="Garamond" w:hAnsi="Garamond" w:cstheme="minorHAnsi"/>
        </w:rPr>
      </w:pPr>
      <w:r w:rsidRPr="00BA4E4A">
        <w:rPr>
          <w:rFonts w:ascii="Garamond" w:hAnsi="Garamond" w:cstheme="minorHAnsi"/>
        </w:rPr>
        <w:t xml:space="preserve">Teniendo en cuenta la necesidad de la Procuraduría de contar con un sistema de información para la vigilancia de los sujetos obligados “no tradicionales” de la ley de transparencia y del derecho de acceso a la información pública, que son aquellos de carácter privado que ejercen función pública, prestan servicios públicos y/o  administran recursos públicos, se presentaron al programa ACTUE los términos de referencia para la contratación del diseño e implementación de un Sistema de Información Business </w:t>
      </w:r>
      <w:proofErr w:type="spellStart"/>
      <w:r w:rsidRPr="00BA4E4A">
        <w:rPr>
          <w:rFonts w:ascii="Garamond" w:hAnsi="Garamond" w:cstheme="minorHAnsi"/>
        </w:rPr>
        <w:t>Intelligence</w:t>
      </w:r>
      <w:proofErr w:type="spellEnd"/>
      <w:r w:rsidRPr="00BA4E4A">
        <w:rPr>
          <w:rFonts w:ascii="Garamond" w:hAnsi="Garamond" w:cstheme="minorHAnsi"/>
        </w:rPr>
        <w:t xml:space="preserve"> (BI) tipo web con interface al Sistema de Índices de Cumplimiento Normativo (SICN) de la PGN, que permita el registro de los citados sujetos obligados, así como el diligenciamiento, consulta y actualización de la información del cumplimiento normativo y la generación del índice de transparencia y acceso a información pública en sujetos “no tradicionales” (ITA). </w:t>
      </w:r>
    </w:p>
    <w:p w:rsidR="00BA4E4A" w:rsidRPr="00BA4E4A" w:rsidRDefault="00BA4E4A" w:rsidP="00BA4E4A">
      <w:pPr>
        <w:jc w:val="both"/>
        <w:rPr>
          <w:rFonts w:cstheme="minorHAnsi"/>
          <w:lang w:val="es-CO"/>
        </w:rPr>
      </w:pPr>
    </w:p>
    <w:p w:rsidR="00967F98" w:rsidRPr="000C297D" w:rsidRDefault="00BA4E4A" w:rsidP="000C297D">
      <w:pPr>
        <w:pStyle w:val="Prrafodelista"/>
        <w:numPr>
          <w:ilvl w:val="1"/>
          <w:numId w:val="23"/>
        </w:numPr>
        <w:spacing w:line="276" w:lineRule="auto"/>
        <w:contextualSpacing w:val="0"/>
        <w:jc w:val="both"/>
        <w:rPr>
          <w:rFonts w:ascii="Garamond" w:hAnsi="Garamond" w:cstheme="minorHAnsi"/>
        </w:rPr>
      </w:pPr>
      <w:r w:rsidRPr="00BA4E4A">
        <w:rPr>
          <w:rFonts w:ascii="Garamond" w:hAnsi="Garamond" w:cstheme="minorHAnsi"/>
        </w:rPr>
        <w:t xml:space="preserve">El proyecto sectorial de medio ambiente Amazonía Transparente, elaborado de manera conjunta con la Procuraduría Delegada para Asuntos Ambientales y Agrarios y el Grupo de Cooperación y Asuntos Internacionales de la Procuraduría, tiene como objetivo optimizar el control de la extracción minera en zona de reserva forestal de la Amazonía (RFA). Con el fin de complementar la consecución de recursos a través de los organismos internacionales y de la Agencia Presidencia de Cooperación, los cuales no se han podido concretar, se hizo contacto con la Fundación </w:t>
      </w:r>
      <w:proofErr w:type="spellStart"/>
      <w:r w:rsidRPr="00BA4E4A">
        <w:rPr>
          <w:rFonts w:ascii="Garamond" w:hAnsi="Garamond" w:cstheme="minorHAnsi"/>
        </w:rPr>
        <w:t>Wildlife</w:t>
      </w:r>
      <w:proofErr w:type="spellEnd"/>
      <w:r w:rsidRPr="00BA4E4A">
        <w:rPr>
          <w:rFonts w:ascii="Garamond" w:hAnsi="Garamond" w:cstheme="minorHAnsi"/>
        </w:rPr>
        <w:t xml:space="preserve"> </w:t>
      </w:r>
      <w:proofErr w:type="spellStart"/>
      <w:r w:rsidRPr="00BA4E4A">
        <w:rPr>
          <w:rFonts w:ascii="Garamond" w:hAnsi="Garamond" w:cstheme="minorHAnsi"/>
        </w:rPr>
        <w:t>Conservation</w:t>
      </w:r>
      <w:proofErr w:type="spellEnd"/>
      <w:r w:rsidRPr="00BA4E4A">
        <w:rPr>
          <w:rFonts w:ascii="Garamond" w:hAnsi="Garamond" w:cstheme="minorHAnsi"/>
        </w:rPr>
        <w:t xml:space="preserve"> </w:t>
      </w:r>
      <w:proofErr w:type="spellStart"/>
      <w:r w:rsidRPr="00BA4E4A">
        <w:rPr>
          <w:rFonts w:ascii="Garamond" w:hAnsi="Garamond" w:cstheme="minorHAnsi"/>
        </w:rPr>
        <w:t>Society</w:t>
      </w:r>
      <w:proofErr w:type="spellEnd"/>
      <w:r w:rsidRPr="00BA4E4A">
        <w:rPr>
          <w:rFonts w:ascii="Garamond" w:hAnsi="Garamond" w:cstheme="minorHAnsi"/>
        </w:rPr>
        <w:t xml:space="preserve"> – Colombia, </w:t>
      </w:r>
      <w:r w:rsidRPr="00BA4E4A">
        <w:rPr>
          <w:rFonts w:ascii="Garamond" w:hAnsi="Garamond" w:cstheme="minorHAnsi"/>
        </w:rPr>
        <w:lastRenderedPageBreak/>
        <w:t>por medio de la cual se realizará en el mes de agosto un curso de compensación ambiental a funcionarios de la Procuraduría.</w:t>
      </w:r>
    </w:p>
    <w:p w:rsidR="00967F98" w:rsidRDefault="00967F98" w:rsidP="000C297D">
      <w:pPr>
        <w:pStyle w:val="Prrafodelista"/>
        <w:spacing w:line="276" w:lineRule="auto"/>
        <w:jc w:val="both"/>
        <w:rPr>
          <w:rFonts w:cstheme="minorHAnsi"/>
          <w:b/>
        </w:rPr>
      </w:pPr>
    </w:p>
    <w:p w:rsidR="000C297D" w:rsidRDefault="000C297D" w:rsidP="000C297D">
      <w:pPr>
        <w:pStyle w:val="Prrafodelista"/>
        <w:spacing w:line="276" w:lineRule="auto"/>
        <w:jc w:val="both"/>
        <w:rPr>
          <w:rFonts w:cstheme="minorHAnsi"/>
          <w:b/>
        </w:rPr>
      </w:pPr>
    </w:p>
    <w:p w:rsidR="000C297D" w:rsidRDefault="000C297D" w:rsidP="000C297D">
      <w:pPr>
        <w:pStyle w:val="Prrafodelista"/>
        <w:numPr>
          <w:ilvl w:val="0"/>
          <w:numId w:val="16"/>
        </w:numPr>
        <w:spacing w:line="276" w:lineRule="auto"/>
        <w:contextualSpacing w:val="0"/>
        <w:jc w:val="both"/>
        <w:rPr>
          <w:rFonts w:ascii="Garamond" w:hAnsi="Garamond" w:cstheme="minorHAnsi"/>
          <w:b/>
        </w:rPr>
      </w:pPr>
      <w:r>
        <w:rPr>
          <w:rFonts w:ascii="Garamond" w:hAnsi="Garamond" w:cstheme="minorHAnsi"/>
          <w:b/>
        </w:rPr>
        <w:t xml:space="preserve">SISTEMAS DE INFORMACIÓN </w:t>
      </w:r>
    </w:p>
    <w:p w:rsidR="000C297D" w:rsidRPr="00A5235E" w:rsidRDefault="000C297D" w:rsidP="00A5235E">
      <w:pPr>
        <w:spacing w:after="200" w:line="276" w:lineRule="auto"/>
        <w:jc w:val="both"/>
        <w:rPr>
          <w:rFonts w:cs="Arial"/>
        </w:rPr>
      </w:pPr>
    </w:p>
    <w:p w:rsidR="000C297D" w:rsidRPr="005E57E6" w:rsidRDefault="000C297D" w:rsidP="00A5235E">
      <w:pPr>
        <w:spacing w:after="200" w:line="276" w:lineRule="auto"/>
        <w:jc w:val="both"/>
        <w:rPr>
          <w:rFonts w:cs="Arial"/>
          <w:lang w:val="es-CO"/>
        </w:rPr>
      </w:pPr>
      <w:r w:rsidRPr="005E57E6">
        <w:rPr>
          <w:rFonts w:cs="Arial"/>
          <w:lang w:val="es-CO"/>
        </w:rPr>
        <w:t>Como insumo para la generación del Índice de Cumplimiento de la Ley 1712</w:t>
      </w:r>
      <w:r w:rsidR="00A5235E" w:rsidRPr="005E57E6">
        <w:rPr>
          <w:rFonts w:cs="Arial"/>
          <w:lang w:val="es-CO"/>
        </w:rPr>
        <w:t xml:space="preserve"> de 2014</w:t>
      </w:r>
      <w:r w:rsidRPr="005E57E6">
        <w:rPr>
          <w:rFonts w:cs="Arial"/>
          <w:lang w:val="es-CO"/>
        </w:rPr>
        <w:t xml:space="preserve"> se</w:t>
      </w:r>
      <w:r w:rsidR="00A5235E" w:rsidRPr="005E57E6">
        <w:rPr>
          <w:rFonts w:cs="Arial"/>
          <w:lang w:val="es-CO"/>
        </w:rPr>
        <w:t xml:space="preserve"> realizó</w:t>
      </w:r>
      <w:r w:rsidRPr="005E57E6">
        <w:rPr>
          <w:rFonts w:cs="Arial"/>
          <w:lang w:val="es-CO"/>
        </w:rPr>
        <w:t xml:space="preserve"> la consolidación de ciento sesenta y nueve (169) visitas realizadas por las Personerías a los sujetos obligados del orden territorial, utilizando como instrumento de recolección la matriz de diagnóstico diseñada por el grupo a las Alcaldías Municipales, centros de salud, Hospitales entre otras entidades públicas.</w:t>
      </w:r>
    </w:p>
    <w:p w:rsidR="000C297D" w:rsidRPr="005E57E6" w:rsidRDefault="000C297D" w:rsidP="00A5235E">
      <w:pPr>
        <w:spacing w:after="200" w:line="276" w:lineRule="auto"/>
        <w:jc w:val="both"/>
        <w:rPr>
          <w:rFonts w:cs="Arial"/>
          <w:lang w:val="es-CO"/>
        </w:rPr>
      </w:pPr>
      <w:r w:rsidRPr="005E57E6">
        <w:rPr>
          <w:rFonts w:cs="Arial"/>
          <w:lang w:val="es-CO"/>
        </w:rPr>
        <w:t>Para dar cumplimiento a la Resolución 3564 del 31 de diciembre de 2015 expedida por MINTIC, por la cual se reglamenta aspectos relacionados con la Ley de Transparencia, se rediseño la página web de acuerdo a los estándares de publicación descritos en dicha resolución.</w:t>
      </w:r>
    </w:p>
    <w:p w:rsidR="000C297D" w:rsidRPr="005E57E6" w:rsidRDefault="000C297D" w:rsidP="00A5235E">
      <w:pPr>
        <w:spacing w:after="200" w:line="276" w:lineRule="auto"/>
        <w:jc w:val="both"/>
        <w:rPr>
          <w:rFonts w:cs="Arial"/>
          <w:lang w:val="es-CO"/>
        </w:rPr>
      </w:pPr>
      <w:r w:rsidRPr="005E57E6">
        <w:rPr>
          <w:rFonts w:cs="Arial"/>
          <w:lang w:val="es-CO"/>
        </w:rPr>
        <w:t>Se realizó el rediseño del formulario de solicitudes con identificación reservada, publicada en el sitio web de la PGN, generando filtros que nos permitan establecer que es realmente una solicitud con identificación reservada la que está realizando el ciudadano.</w:t>
      </w:r>
    </w:p>
    <w:p w:rsidR="000C297D" w:rsidRPr="005E57E6" w:rsidRDefault="000C297D" w:rsidP="00A5235E">
      <w:pPr>
        <w:spacing w:after="200" w:line="276" w:lineRule="auto"/>
        <w:jc w:val="both"/>
        <w:rPr>
          <w:rFonts w:cs="Arial"/>
          <w:lang w:val="es-CO"/>
        </w:rPr>
      </w:pPr>
      <w:r w:rsidRPr="005E57E6">
        <w:rPr>
          <w:rFonts w:cs="Arial"/>
          <w:lang w:val="es-CO"/>
        </w:rPr>
        <w:t xml:space="preserve">Se está dando apoyo al Sistema de Información de Gestión de Documento Electrónico de Archivo </w:t>
      </w:r>
      <w:r w:rsidR="00A5235E" w:rsidRPr="005E57E6">
        <w:rPr>
          <w:rFonts w:cs="Arial"/>
          <w:lang w:val="es-CO"/>
        </w:rPr>
        <w:t>(SIGDEA)</w:t>
      </w:r>
      <w:r w:rsidRPr="005E57E6">
        <w:rPr>
          <w:rFonts w:cs="Arial"/>
          <w:lang w:val="es-CO"/>
        </w:rPr>
        <w:t xml:space="preserve"> en lo que tiene que ver con el diseño del formulario de solicitudes con identificación reservada y la funcionabilidad del sistema, para ellos se han revisado los diferentes casos de usos de las solicitudes con identificación reservada, como la sede de registro y sede electrónica.</w:t>
      </w:r>
    </w:p>
    <w:p w:rsidR="000C297D" w:rsidRPr="005E57E6" w:rsidRDefault="000C297D" w:rsidP="000C297D">
      <w:pPr>
        <w:spacing w:after="200" w:line="276" w:lineRule="auto"/>
        <w:jc w:val="both"/>
        <w:rPr>
          <w:rFonts w:cs="Arial"/>
          <w:lang w:val="es-CO"/>
        </w:rPr>
      </w:pPr>
      <w:r w:rsidRPr="005E57E6">
        <w:rPr>
          <w:rFonts w:cs="Arial"/>
          <w:lang w:val="es-CO"/>
        </w:rPr>
        <w:t>Para implementar el “Modelo de Monitoreo de Sujetos Obligados No Tradicionales”</w:t>
      </w:r>
      <w:r w:rsidR="00A5235E" w:rsidRPr="005E57E6">
        <w:rPr>
          <w:rFonts w:cs="Arial"/>
          <w:lang w:val="es-CO"/>
        </w:rPr>
        <w:t>,</w:t>
      </w:r>
      <w:r w:rsidRPr="005E57E6">
        <w:rPr>
          <w:rFonts w:cs="Arial"/>
          <w:lang w:val="es-CO"/>
        </w:rPr>
        <w:t xml:space="preserve"> desarrollado con la asistencia técnica del Programa </w:t>
      </w:r>
      <w:proofErr w:type="spellStart"/>
      <w:r w:rsidRPr="005E57E6">
        <w:rPr>
          <w:rFonts w:cs="Arial"/>
          <w:lang w:val="es-CO"/>
        </w:rPr>
        <w:t>Eurosocial</w:t>
      </w:r>
      <w:proofErr w:type="spellEnd"/>
      <w:r w:rsidRPr="005E57E6">
        <w:rPr>
          <w:rFonts w:cs="Arial"/>
          <w:lang w:val="es-CO"/>
        </w:rPr>
        <w:t xml:space="preserve"> II, se están elaborando los términos de referencia para el diseño de un sistema de información para el seguimiento y vigilancia de los sujetos obligados no tradicionales de la Ley de Transparencia, el cual se realizara con cooperación internacional de la Unión Europea a través del Programa ACTUE.</w:t>
      </w:r>
    </w:p>
    <w:p w:rsidR="00A5235E" w:rsidRPr="005E57E6" w:rsidRDefault="00A5235E" w:rsidP="000C297D">
      <w:pPr>
        <w:spacing w:after="200" w:line="276" w:lineRule="auto"/>
        <w:jc w:val="both"/>
        <w:rPr>
          <w:rFonts w:cs="Arial"/>
          <w:lang w:val="es-CO"/>
        </w:rPr>
      </w:pPr>
    </w:p>
    <w:p w:rsidR="000C297D" w:rsidRDefault="000C297D" w:rsidP="000C297D">
      <w:pPr>
        <w:pStyle w:val="Prrafodelista"/>
        <w:numPr>
          <w:ilvl w:val="0"/>
          <w:numId w:val="16"/>
        </w:numPr>
        <w:spacing w:line="276" w:lineRule="auto"/>
        <w:contextualSpacing w:val="0"/>
        <w:jc w:val="both"/>
        <w:rPr>
          <w:rFonts w:ascii="Garamond" w:hAnsi="Garamond" w:cstheme="minorHAnsi"/>
          <w:b/>
        </w:rPr>
      </w:pPr>
      <w:r>
        <w:rPr>
          <w:rFonts w:ascii="Garamond" w:hAnsi="Garamond" w:cstheme="minorHAnsi"/>
          <w:b/>
        </w:rPr>
        <w:t>COMUNICACIONES</w:t>
      </w:r>
    </w:p>
    <w:p w:rsidR="00354357" w:rsidRDefault="00354357" w:rsidP="00354357">
      <w:pPr>
        <w:spacing w:line="276" w:lineRule="auto"/>
        <w:jc w:val="both"/>
        <w:rPr>
          <w:rFonts w:cstheme="minorHAnsi"/>
          <w:b/>
        </w:rPr>
      </w:pPr>
    </w:p>
    <w:p w:rsidR="00354357" w:rsidRPr="00354357" w:rsidRDefault="00354357" w:rsidP="00354357">
      <w:pPr>
        <w:jc w:val="both"/>
        <w:rPr>
          <w:rFonts w:cs="Arial"/>
          <w:lang w:val="es-CO"/>
        </w:rPr>
      </w:pPr>
      <w:r w:rsidRPr="00354357">
        <w:rPr>
          <w:rFonts w:cs="Arial"/>
          <w:lang w:val="es-CO"/>
        </w:rPr>
        <w:t xml:space="preserve">El objetivo de la línea de comunicaciones en el </w:t>
      </w:r>
      <w:r w:rsidR="00DF4536">
        <w:rPr>
          <w:rFonts w:cs="Arial"/>
          <w:lang w:val="es-CO"/>
        </w:rPr>
        <w:t>I Semestre de</w:t>
      </w:r>
      <w:r w:rsidRPr="00354357">
        <w:rPr>
          <w:rFonts w:cs="Arial"/>
          <w:lang w:val="es-CO"/>
        </w:rPr>
        <w:t xml:space="preserve"> 2016 fue desarrollar actividades que generaran mayor visibilidad de las funciones y logros del grupo, tanto a nivel interno en la PG</w:t>
      </w:r>
      <w:r w:rsidR="00DF4536">
        <w:rPr>
          <w:rFonts w:cs="Arial"/>
          <w:lang w:val="es-CO"/>
        </w:rPr>
        <w:t>N como hacia el exterior de la e</w:t>
      </w:r>
      <w:r w:rsidRPr="00354357">
        <w:rPr>
          <w:rFonts w:cs="Arial"/>
          <w:lang w:val="es-CO"/>
        </w:rPr>
        <w:t xml:space="preserve">ntidad, para lograr un mayor posicionamiento del Grupo como </w:t>
      </w:r>
      <w:r w:rsidR="00DF4536">
        <w:rPr>
          <w:rFonts w:cs="Arial"/>
          <w:lang w:val="es-CO"/>
        </w:rPr>
        <w:t>órgano garante</w:t>
      </w:r>
      <w:r w:rsidRPr="00354357">
        <w:rPr>
          <w:rFonts w:cs="Arial"/>
          <w:lang w:val="es-CO"/>
        </w:rPr>
        <w:t xml:space="preserve"> en materia de Transparencia y Derecho de Acceso a la Información Pública.</w:t>
      </w:r>
    </w:p>
    <w:p w:rsidR="00354357" w:rsidRPr="00354357" w:rsidRDefault="00354357" w:rsidP="00354357">
      <w:pPr>
        <w:pStyle w:val="Prrafodelista"/>
        <w:ind w:left="0"/>
        <w:jc w:val="both"/>
        <w:rPr>
          <w:rFonts w:ascii="Garamond" w:hAnsi="Garamond" w:cs="Arial"/>
          <w:sz w:val="22"/>
          <w:szCs w:val="22"/>
        </w:rPr>
      </w:pPr>
    </w:p>
    <w:p w:rsidR="00DF4536" w:rsidRPr="00DF4536" w:rsidRDefault="00DF4536" w:rsidP="00354357">
      <w:pPr>
        <w:pStyle w:val="Prrafodelista"/>
        <w:ind w:left="0"/>
        <w:jc w:val="both"/>
        <w:rPr>
          <w:rFonts w:ascii="Garamond" w:hAnsi="Garamond" w:cs="Arial"/>
          <w:b/>
          <w:sz w:val="22"/>
          <w:szCs w:val="22"/>
        </w:rPr>
      </w:pPr>
      <w:r w:rsidRPr="00DF4536">
        <w:rPr>
          <w:rFonts w:ascii="Garamond" w:hAnsi="Garamond" w:cs="Arial"/>
          <w:b/>
          <w:sz w:val="22"/>
          <w:szCs w:val="22"/>
        </w:rPr>
        <w:t>Sección de consultas</w:t>
      </w:r>
    </w:p>
    <w:p w:rsidR="00DF4536" w:rsidRDefault="00DF4536" w:rsidP="00354357">
      <w:pPr>
        <w:pStyle w:val="Prrafodelista"/>
        <w:ind w:left="0"/>
        <w:jc w:val="both"/>
        <w:rPr>
          <w:rFonts w:ascii="Garamond" w:hAnsi="Garamond" w:cs="Arial"/>
          <w:sz w:val="22"/>
          <w:szCs w:val="22"/>
        </w:rPr>
      </w:pPr>
    </w:p>
    <w:p w:rsidR="00354357" w:rsidRPr="00354357" w:rsidRDefault="00354357" w:rsidP="00354357">
      <w:pPr>
        <w:pStyle w:val="Prrafodelista"/>
        <w:ind w:left="0"/>
        <w:jc w:val="both"/>
        <w:rPr>
          <w:rFonts w:ascii="Garamond" w:hAnsi="Garamond" w:cs="Arial"/>
          <w:sz w:val="22"/>
          <w:szCs w:val="22"/>
        </w:rPr>
      </w:pPr>
      <w:r w:rsidRPr="00354357">
        <w:rPr>
          <w:rFonts w:ascii="Garamond" w:hAnsi="Garamond" w:cs="Arial"/>
          <w:sz w:val="22"/>
          <w:szCs w:val="22"/>
        </w:rPr>
        <w:t>Con el fin de dar cum</w:t>
      </w:r>
      <w:r w:rsidR="00DF4536">
        <w:rPr>
          <w:rFonts w:ascii="Garamond" w:hAnsi="Garamond" w:cs="Arial"/>
          <w:sz w:val="22"/>
          <w:szCs w:val="22"/>
        </w:rPr>
        <w:t>plimiento al artículo 14 de la L</w:t>
      </w:r>
      <w:r w:rsidRPr="00354357">
        <w:rPr>
          <w:rFonts w:ascii="Garamond" w:hAnsi="Garamond" w:cs="Arial"/>
          <w:sz w:val="22"/>
          <w:szCs w:val="22"/>
        </w:rPr>
        <w:t>ey 1712 de 2014 se creó una nueva ventana en el micro</w:t>
      </w:r>
      <w:r w:rsidR="00DF4536">
        <w:rPr>
          <w:rFonts w:ascii="Garamond" w:hAnsi="Garamond" w:cs="Arial"/>
          <w:sz w:val="22"/>
          <w:szCs w:val="22"/>
        </w:rPr>
        <w:t xml:space="preserve"> sitio del Grupo de </w:t>
      </w:r>
      <w:r w:rsidRPr="00354357">
        <w:rPr>
          <w:rFonts w:ascii="Garamond" w:hAnsi="Garamond" w:cs="Arial"/>
          <w:sz w:val="22"/>
          <w:szCs w:val="22"/>
        </w:rPr>
        <w:t xml:space="preserve">Transparencia en donde se cargan las </w:t>
      </w:r>
      <w:r w:rsidR="00DF4536" w:rsidRPr="00354357">
        <w:rPr>
          <w:rFonts w:ascii="Garamond" w:hAnsi="Garamond" w:cs="Arial"/>
          <w:sz w:val="22"/>
          <w:szCs w:val="22"/>
        </w:rPr>
        <w:t>consultas absueltas</w:t>
      </w:r>
      <w:r w:rsidR="00DF4536">
        <w:rPr>
          <w:rFonts w:ascii="Garamond" w:hAnsi="Garamond" w:cs="Arial"/>
          <w:sz w:val="22"/>
          <w:szCs w:val="22"/>
        </w:rPr>
        <w:t>, la</w:t>
      </w:r>
      <w:r w:rsidRPr="00354357">
        <w:rPr>
          <w:rFonts w:ascii="Garamond" w:hAnsi="Garamond" w:cs="Arial"/>
          <w:sz w:val="22"/>
          <w:szCs w:val="22"/>
        </w:rPr>
        <w:t>s</w:t>
      </w:r>
      <w:r w:rsidR="00DF4536">
        <w:rPr>
          <w:rFonts w:ascii="Garamond" w:hAnsi="Garamond" w:cs="Arial"/>
          <w:sz w:val="22"/>
          <w:szCs w:val="22"/>
        </w:rPr>
        <w:t xml:space="preserve"> cuales se encuentran en </w:t>
      </w:r>
      <w:r w:rsidRPr="00354357">
        <w:rPr>
          <w:rFonts w:ascii="Garamond" w:hAnsi="Garamond" w:cs="Arial"/>
          <w:sz w:val="22"/>
          <w:szCs w:val="22"/>
        </w:rPr>
        <w:t>formato Word y cumplen con la ley de habeas data, protegiendo así la identidad del individuo. Hasta el momento se han cargado 33 consultas absueltas del año actual, por otro lado se están organizando las del 2014 y 2015 para posteriormente ser publicadas.</w:t>
      </w:r>
    </w:p>
    <w:p w:rsidR="00354357" w:rsidRDefault="00354357" w:rsidP="00354357">
      <w:pPr>
        <w:pStyle w:val="Prrafodelista"/>
        <w:ind w:left="0"/>
        <w:jc w:val="both"/>
        <w:rPr>
          <w:rFonts w:ascii="Garamond" w:hAnsi="Garamond" w:cs="Arial"/>
          <w:sz w:val="22"/>
          <w:szCs w:val="22"/>
        </w:rPr>
      </w:pPr>
    </w:p>
    <w:p w:rsidR="00DF4536" w:rsidRPr="00DF4536" w:rsidRDefault="00DF4536" w:rsidP="00354357">
      <w:pPr>
        <w:pStyle w:val="Prrafodelista"/>
        <w:ind w:left="0"/>
        <w:jc w:val="both"/>
        <w:rPr>
          <w:rFonts w:ascii="Garamond" w:hAnsi="Garamond" w:cs="Arial"/>
          <w:b/>
          <w:sz w:val="22"/>
          <w:szCs w:val="22"/>
        </w:rPr>
      </w:pPr>
      <w:r w:rsidRPr="00DF4536">
        <w:rPr>
          <w:rFonts w:ascii="Garamond" w:hAnsi="Garamond" w:cs="Arial"/>
          <w:b/>
          <w:sz w:val="22"/>
          <w:szCs w:val="22"/>
        </w:rPr>
        <w:t>Boletines informativos</w:t>
      </w:r>
    </w:p>
    <w:p w:rsidR="00DF4536" w:rsidRPr="00354357" w:rsidRDefault="00DF4536" w:rsidP="00354357">
      <w:pPr>
        <w:pStyle w:val="Prrafodelista"/>
        <w:ind w:left="0"/>
        <w:jc w:val="both"/>
        <w:rPr>
          <w:rFonts w:ascii="Garamond" w:hAnsi="Garamond" w:cs="Arial"/>
          <w:sz w:val="22"/>
          <w:szCs w:val="22"/>
        </w:rPr>
      </w:pPr>
    </w:p>
    <w:p w:rsidR="00354357" w:rsidRPr="00354357" w:rsidRDefault="00354357" w:rsidP="00354357">
      <w:pPr>
        <w:pStyle w:val="Prrafodelista"/>
        <w:ind w:left="0"/>
        <w:jc w:val="both"/>
        <w:rPr>
          <w:rFonts w:ascii="Garamond" w:hAnsi="Garamond" w:cs="Arial"/>
          <w:sz w:val="22"/>
          <w:szCs w:val="22"/>
        </w:rPr>
      </w:pPr>
      <w:r w:rsidRPr="00354357">
        <w:rPr>
          <w:rFonts w:ascii="Garamond" w:hAnsi="Garamond" w:cs="Arial"/>
          <w:sz w:val="22"/>
          <w:szCs w:val="22"/>
        </w:rPr>
        <w:t xml:space="preserve">Para visibilizar las acciones y funciones del </w:t>
      </w:r>
      <w:r w:rsidR="00DF4536">
        <w:rPr>
          <w:rFonts w:ascii="Garamond" w:hAnsi="Garamond" w:cs="Arial"/>
          <w:sz w:val="22"/>
          <w:szCs w:val="22"/>
        </w:rPr>
        <w:t>G</w:t>
      </w:r>
      <w:r w:rsidRPr="00354357">
        <w:rPr>
          <w:rFonts w:ascii="Garamond" w:hAnsi="Garamond" w:cs="Arial"/>
          <w:sz w:val="22"/>
          <w:szCs w:val="22"/>
        </w:rPr>
        <w:t>rupo de Transparencia, se da inicio a la creación de bol</w:t>
      </w:r>
      <w:r w:rsidR="00DF4536">
        <w:rPr>
          <w:rFonts w:ascii="Garamond" w:hAnsi="Garamond" w:cs="Arial"/>
          <w:sz w:val="22"/>
          <w:szCs w:val="22"/>
        </w:rPr>
        <w:t>etines informativos bimensuales;</w:t>
      </w:r>
      <w:r w:rsidRPr="00354357">
        <w:rPr>
          <w:rFonts w:ascii="Garamond" w:hAnsi="Garamond" w:cs="Arial"/>
          <w:sz w:val="22"/>
          <w:szCs w:val="22"/>
        </w:rPr>
        <w:t xml:space="preserve"> en enero del presente año se determinó como objetivo realizar un boletín bimensual sobre aspectos y temas relevantes de transparencia nacional e internacional</w:t>
      </w:r>
      <w:r w:rsidR="00DF4536">
        <w:rPr>
          <w:rFonts w:ascii="Garamond" w:hAnsi="Garamond" w:cs="Arial"/>
          <w:sz w:val="22"/>
          <w:szCs w:val="22"/>
        </w:rPr>
        <w:t>. A</w:t>
      </w:r>
      <w:r w:rsidRPr="00354357">
        <w:rPr>
          <w:rFonts w:ascii="Garamond" w:hAnsi="Garamond" w:cs="Arial"/>
          <w:sz w:val="22"/>
          <w:szCs w:val="22"/>
        </w:rPr>
        <w:t xml:space="preserve">l día de </w:t>
      </w:r>
      <w:r w:rsidR="00DF4536" w:rsidRPr="00354357">
        <w:rPr>
          <w:rFonts w:ascii="Garamond" w:hAnsi="Garamond" w:cs="Arial"/>
          <w:sz w:val="22"/>
          <w:szCs w:val="22"/>
        </w:rPr>
        <w:t>hoy se</w:t>
      </w:r>
      <w:r w:rsidRPr="00354357">
        <w:rPr>
          <w:rFonts w:ascii="Garamond" w:hAnsi="Garamond" w:cs="Arial"/>
          <w:sz w:val="22"/>
          <w:szCs w:val="22"/>
        </w:rPr>
        <w:t xml:space="preserve"> han desarrollado 2 boletines, el primero en febrero y el segundo en mayo, los cuales se han publicado en redes sociales, en el micro</w:t>
      </w:r>
      <w:r w:rsidR="00DF4536">
        <w:rPr>
          <w:rFonts w:ascii="Garamond" w:hAnsi="Garamond" w:cs="Arial"/>
          <w:sz w:val="22"/>
          <w:szCs w:val="22"/>
        </w:rPr>
        <w:t xml:space="preserve"> </w:t>
      </w:r>
      <w:r w:rsidRPr="00354357">
        <w:rPr>
          <w:rFonts w:ascii="Garamond" w:hAnsi="Garamond" w:cs="Arial"/>
          <w:sz w:val="22"/>
          <w:szCs w:val="22"/>
        </w:rPr>
        <w:t xml:space="preserve">sitio y </w:t>
      </w:r>
      <w:r w:rsidR="00DF4536">
        <w:rPr>
          <w:rFonts w:ascii="Garamond" w:hAnsi="Garamond" w:cs="Arial"/>
          <w:sz w:val="22"/>
          <w:szCs w:val="22"/>
        </w:rPr>
        <w:t xml:space="preserve">se han </w:t>
      </w:r>
      <w:r w:rsidRPr="00354357">
        <w:rPr>
          <w:rFonts w:ascii="Garamond" w:hAnsi="Garamond" w:cs="Arial"/>
          <w:sz w:val="22"/>
          <w:szCs w:val="22"/>
        </w:rPr>
        <w:t>difundido a través de</w:t>
      </w:r>
      <w:r w:rsidR="00DF4536">
        <w:rPr>
          <w:rFonts w:ascii="Garamond" w:hAnsi="Garamond" w:cs="Arial"/>
          <w:sz w:val="22"/>
          <w:szCs w:val="22"/>
        </w:rPr>
        <w:t xml:space="preserve"> correo electrónico. </w:t>
      </w:r>
      <w:r w:rsidRPr="00354357">
        <w:rPr>
          <w:rFonts w:ascii="Garamond" w:hAnsi="Garamond" w:cs="Arial"/>
          <w:sz w:val="22"/>
          <w:szCs w:val="22"/>
        </w:rPr>
        <w:t xml:space="preserve">Los </w:t>
      </w:r>
      <w:r w:rsidRPr="00354357">
        <w:rPr>
          <w:rFonts w:ascii="Garamond" w:hAnsi="Garamond" w:cs="Arial"/>
          <w:sz w:val="22"/>
          <w:szCs w:val="22"/>
        </w:rPr>
        <w:lastRenderedPageBreak/>
        <w:t>temas tratados fueron: noticias, eventos, normatividad, herramientas preventivas y pedagógicas dirigidas a funcionarios y ciudadanos. Finalmente un tercer boletín se encuentra en construcción el cual será publicado a final del mes de julio de 2016.</w:t>
      </w:r>
    </w:p>
    <w:p w:rsidR="00354357" w:rsidRDefault="00354357" w:rsidP="00354357">
      <w:pPr>
        <w:pStyle w:val="Prrafodelista"/>
        <w:ind w:left="0"/>
        <w:jc w:val="both"/>
        <w:rPr>
          <w:rFonts w:ascii="Garamond" w:hAnsi="Garamond" w:cs="Arial"/>
          <w:sz w:val="22"/>
          <w:szCs w:val="22"/>
        </w:rPr>
      </w:pPr>
    </w:p>
    <w:p w:rsidR="00DF4536" w:rsidRPr="00DF4536" w:rsidRDefault="00DF4536" w:rsidP="00354357">
      <w:pPr>
        <w:pStyle w:val="Prrafodelista"/>
        <w:ind w:left="0"/>
        <w:jc w:val="both"/>
        <w:rPr>
          <w:rFonts w:ascii="Garamond" w:hAnsi="Garamond" w:cs="Arial"/>
          <w:b/>
          <w:sz w:val="22"/>
          <w:szCs w:val="22"/>
        </w:rPr>
      </w:pPr>
      <w:r w:rsidRPr="00DF4536">
        <w:rPr>
          <w:rFonts w:ascii="Garamond" w:hAnsi="Garamond" w:cs="Arial"/>
          <w:b/>
          <w:sz w:val="22"/>
          <w:szCs w:val="22"/>
        </w:rPr>
        <w:t>Actualización del micro sitio</w:t>
      </w:r>
    </w:p>
    <w:p w:rsidR="00DF4536" w:rsidRPr="00354357" w:rsidRDefault="00DF4536" w:rsidP="00354357">
      <w:pPr>
        <w:pStyle w:val="Prrafodelista"/>
        <w:ind w:left="0"/>
        <w:jc w:val="both"/>
        <w:rPr>
          <w:rFonts w:ascii="Garamond" w:hAnsi="Garamond" w:cs="Arial"/>
          <w:sz w:val="22"/>
          <w:szCs w:val="22"/>
        </w:rPr>
      </w:pPr>
    </w:p>
    <w:p w:rsidR="00354357" w:rsidRPr="00354357" w:rsidRDefault="00DF4536" w:rsidP="00354357">
      <w:pPr>
        <w:pStyle w:val="Prrafodelista"/>
        <w:ind w:left="0"/>
        <w:jc w:val="both"/>
        <w:rPr>
          <w:rFonts w:ascii="Garamond" w:hAnsi="Garamond" w:cs="Arial"/>
          <w:sz w:val="22"/>
          <w:szCs w:val="22"/>
        </w:rPr>
      </w:pPr>
      <w:r>
        <w:rPr>
          <w:rFonts w:ascii="Garamond" w:hAnsi="Garamond" w:cs="Arial"/>
          <w:sz w:val="22"/>
          <w:szCs w:val="22"/>
        </w:rPr>
        <w:t xml:space="preserve">Durante </w:t>
      </w:r>
      <w:r w:rsidR="00354357" w:rsidRPr="00354357">
        <w:rPr>
          <w:rFonts w:ascii="Garamond" w:hAnsi="Garamond" w:cs="Arial"/>
          <w:sz w:val="22"/>
          <w:szCs w:val="22"/>
        </w:rPr>
        <w:t>el primer semestre del 2016 se han cargado 41 documentos en el micro</w:t>
      </w:r>
      <w:r>
        <w:rPr>
          <w:rFonts w:ascii="Garamond" w:hAnsi="Garamond" w:cs="Arial"/>
          <w:sz w:val="22"/>
          <w:szCs w:val="22"/>
        </w:rPr>
        <w:t xml:space="preserve"> </w:t>
      </w:r>
      <w:r w:rsidR="00354357" w:rsidRPr="00354357">
        <w:rPr>
          <w:rFonts w:ascii="Garamond" w:hAnsi="Garamond" w:cs="Arial"/>
          <w:sz w:val="22"/>
          <w:szCs w:val="22"/>
        </w:rPr>
        <w:t>sitio de</w:t>
      </w:r>
      <w:r>
        <w:rPr>
          <w:rFonts w:ascii="Garamond" w:hAnsi="Garamond" w:cs="Arial"/>
          <w:sz w:val="22"/>
          <w:szCs w:val="22"/>
        </w:rPr>
        <w:t>l Grupo de</w:t>
      </w:r>
      <w:r w:rsidR="00354357" w:rsidRPr="00354357">
        <w:rPr>
          <w:rFonts w:ascii="Garamond" w:hAnsi="Garamond" w:cs="Arial"/>
          <w:sz w:val="22"/>
          <w:szCs w:val="22"/>
        </w:rPr>
        <w:t xml:space="preserve"> Transparencia, entre los cuales se encuentran: informes, boletines, publicaciones, noticias, consulta y videos, adicionalmente se creó un acceso directo a las noticias de la R</w:t>
      </w:r>
      <w:r>
        <w:rPr>
          <w:rFonts w:ascii="Garamond" w:hAnsi="Garamond" w:cs="Arial"/>
          <w:sz w:val="22"/>
          <w:szCs w:val="22"/>
        </w:rPr>
        <w:t>ed de Transparencia y Acceso a la Información Pública (R</w:t>
      </w:r>
      <w:r w:rsidR="00354357" w:rsidRPr="00354357">
        <w:rPr>
          <w:rFonts w:ascii="Garamond" w:hAnsi="Garamond" w:cs="Arial"/>
          <w:sz w:val="22"/>
          <w:szCs w:val="22"/>
        </w:rPr>
        <w:t>TA</w:t>
      </w:r>
      <w:r>
        <w:rPr>
          <w:rFonts w:ascii="Garamond" w:hAnsi="Garamond" w:cs="Arial"/>
          <w:sz w:val="22"/>
          <w:szCs w:val="22"/>
        </w:rPr>
        <w:t>)</w:t>
      </w:r>
      <w:r w:rsidR="00354357" w:rsidRPr="00354357">
        <w:rPr>
          <w:rFonts w:ascii="Garamond" w:hAnsi="Garamond" w:cs="Arial"/>
          <w:sz w:val="22"/>
          <w:szCs w:val="22"/>
        </w:rPr>
        <w:t>, las cuales son las noticias más relevantes en temas de transparencia de los miembros de la R</w:t>
      </w:r>
      <w:r>
        <w:rPr>
          <w:rFonts w:ascii="Garamond" w:hAnsi="Garamond" w:cs="Arial"/>
          <w:sz w:val="22"/>
          <w:szCs w:val="22"/>
        </w:rPr>
        <w:t>ed</w:t>
      </w:r>
      <w:r w:rsidR="00354357" w:rsidRPr="00354357">
        <w:rPr>
          <w:rFonts w:ascii="Garamond" w:hAnsi="Garamond" w:cs="Arial"/>
          <w:sz w:val="22"/>
          <w:szCs w:val="22"/>
        </w:rPr>
        <w:t xml:space="preserve">. De esta manera se garantiza el derecho de acceso a la información para el público en general y además cumpliendo con las buenas prácticas de máxima publicidad. </w:t>
      </w:r>
    </w:p>
    <w:p w:rsidR="00354357" w:rsidRPr="00354357" w:rsidRDefault="00354357" w:rsidP="00354357">
      <w:pPr>
        <w:pStyle w:val="Prrafodelista"/>
        <w:ind w:left="0"/>
        <w:jc w:val="both"/>
        <w:rPr>
          <w:rFonts w:ascii="Garamond" w:hAnsi="Garamond" w:cs="Arial"/>
          <w:sz w:val="22"/>
          <w:szCs w:val="22"/>
        </w:rPr>
      </w:pPr>
    </w:p>
    <w:p w:rsidR="00DF4536" w:rsidRPr="00DF4536" w:rsidRDefault="00DF4536" w:rsidP="00354357">
      <w:pPr>
        <w:pStyle w:val="Prrafodelista"/>
        <w:ind w:left="0"/>
        <w:jc w:val="both"/>
        <w:rPr>
          <w:rFonts w:ascii="Garamond" w:hAnsi="Garamond" w:cs="Arial"/>
          <w:b/>
          <w:sz w:val="22"/>
          <w:szCs w:val="22"/>
        </w:rPr>
      </w:pPr>
      <w:r w:rsidRPr="00DF4536">
        <w:rPr>
          <w:rFonts w:ascii="Garamond" w:hAnsi="Garamond" w:cs="Arial"/>
          <w:b/>
          <w:sz w:val="22"/>
          <w:szCs w:val="22"/>
        </w:rPr>
        <w:t>Redes sociales</w:t>
      </w:r>
    </w:p>
    <w:p w:rsidR="00DF4536" w:rsidRDefault="00DF4536" w:rsidP="00354357">
      <w:pPr>
        <w:pStyle w:val="Prrafodelista"/>
        <w:ind w:left="0"/>
        <w:jc w:val="both"/>
        <w:rPr>
          <w:rFonts w:ascii="Garamond" w:hAnsi="Garamond" w:cs="Arial"/>
          <w:sz w:val="22"/>
          <w:szCs w:val="22"/>
        </w:rPr>
      </w:pPr>
    </w:p>
    <w:p w:rsidR="00DF4536" w:rsidRDefault="00DF4536" w:rsidP="00354357">
      <w:pPr>
        <w:pStyle w:val="Prrafodelista"/>
        <w:ind w:left="0"/>
        <w:jc w:val="both"/>
        <w:rPr>
          <w:rFonts w:ascii="Garamond" w:hAnsi="Garamond" w:cs="Arial"/>
          <w:sz w:val="22"/>
          <w:szCs w:val="22"/>
        </w:rPr>
      </w:pPr>
      <w:r>
        <w:rPr>
          <w:rFonts w:ascii="Garamond" w:hAnsi="Garamond" w:cs="Arial"/>
          <w:sz w:val="22"/>
          <w:szCs w:val="22"/>
        </w:rPr>
        <w:t>Con el objeto de i</w:t>
      </w:r>
      <w:r w:rsidR="00354357" w:rsidRPr="00354357">
        <w:rPr>
          <w:rFonts w:ascii="Garamond" w:hAnsi="Garamond" w:cs="Arial"/>
          <w:sz w:val="22"/>
          <w:szCs w:val="22"/>
        </w:rPr>
        <w:t xml:space="preserve">ncrementar el posicionamiento del Grupo de Transparencia por medio de redes sociales y </w:t>
      </w:r>
      <w:r>
        <w:rPr>
          <w:rFonts w:ascii="Garamond" w:hAnsi="Garamond" w:cs="Arial"/>
          <w:sz w:val="22"/>
          <w:szCs w:val="22"/>
        </w:rPr>
        <w:t>correos electrónicos (</w:t>
      </w:r>
      <w:proofErr w:type="spellStart"/>
      <w:r w:rsidR="00354357" w:rsidRPr="00354357">
        <w:rPr>
          <w:rFonts w:ascii="Garamond" w:hAnsi="Garamond" w:cs="Arial"/>
          <w:sz w:val="22"/>
          <w:szCs w:val="22"/>
        </w:rPr>
        <w:t>mailing</w:t>
      </w:r>
      <w:proofErr w:type="spellEnd"/>
      <w:r>
        <w:rPr>
          <w:rFonts w:ascii="Garamond" w:hAnsi="Garamond" w:cs="Arial"/>
          <w:sz w:val="22"/>
          <w:szCs w:val="22"/>
        </w:rPr>
        <w:t>), d</w:t>
      </w:r>
      <w:r w:rsidR="00354357" w:rsidRPr="00354357">
        <w:rPr>
          <w:rFonts w:ascii="Garamond" w:hAnsi="Garamond" w:cs="Arial"/>
          <w:sz w:val="22"/>
          <w:szCs w:val="22"/>
        </w:rPr>
        <w:t xml:space="preserve">urante los eventos, capacitaciones y foros realizados por el Grupo de Transparencia se ha publicado información relacionada con </w:t>
      </w:r>
      <w:r>
        <w:rPr>
          <w:rFonts w:ascii="Garamond" w:hAnsi="Garamond" w:cs="Arial"/>
          <w:sz w:val="22"/>
          <w:szCs w:val="22"/>
        </w:rPr>
        <w:t>los mismos</w:t>
      </w:r>
      <w:r w:rsidR="00354357" w:rsidRPr="00354357">
        <w:rPr>
          <w:rFonts w:ascii="Garamond" w:hAnsi="Garamond" w:cs="Arial"/>
          <w:sz w:val="22"/>
          <w:szCs w:val="22"/>
        </w:rPr>
        <w:t xml:space="preserve"> en las redes sociales</w:t>
      </w:r>
      <w:r>
        <w:rPr>
          <w:rFonts w:ascii="Garamond" w:hAnsi="Garamond" w:cs="Arial"/>
          <w:sz w:val="22"/>
          <w:szCs w:val="22"/>
        </w:rPr>
        <w:t xml:space="preserve"> de la entidad</w:t>
      </w:r>
      <w:r w:rsidR="00354357" w:rsidRPr="00354357">
        <w:rPr>
          <w:rFonts w:ascii="Garamond" w:hAnsi="Garamond" w:cs="Arial"/>
          <w:sz w:val="22"/>
          <w:szCs w:val="22"/>
        </w:rPr>
        <w:t xml:space="preserve">, siendo twitter la red social más utilizada. </w:t>
      </w:r>
    </w:p>
    <w:p w:rsidR="00DF4536" w:rsidRDefault="00DF4536" w:rsidP="00354357">
      <w:pPr>
        <w:pStyle w:val="Prrafodelista"/>
        <w:ind w:left="0"/>
        <w:jc w:val="both"/>
        <w:rPr>
          <w:rFonts w:ascii="Garamond" w:hAnsi="Garamond" w:cs="Arial"/>
          <w:sz w:val="22"/>
          <w:szCs w:val="22"/>
        </w:rPr>
      </w:pPr>
    </w:p>
    <w:p w:rsidR="00354357" w:rsidRPr="00354357" w:rsidRDefault="00354357" w:rsidP="00354357">
      <w:pPr>
        <w:pStyle w:val="Prrafodelista"/>
        <w:ind w:left="0"/>
        <w:jc w:val="both"/>
        <w:rPr>
          <w:rFonts w:ascii="Garamond" w:hAnsi="Garamond" w:cs="Arial"/>
          <w:sz w:val="22"/>
          <w:szCs w:val="22"/>
        </w:rPr>
      </w:pPr>
      <w:r w:rsidRPr="00354357">
        <w:rPr>
          <w:rFonts w:ascii="Garamond" w:hAnsi="Garamond" w:cs="Arial"/>
          <w:sz w:val="22"/>
          <w:szCs w:val="22"/>
        </w:rPr>
        <w:t>Se publicaron las guías digitales a través de estos medios, se ha promovido las capacitaciones a los sujetos obligados por medio de Facebook y twitter como logro visible se ha evidenciado un aumento significativo en la demanda de capacitaciones por parte de los sujetos obligado</w:t>
      </w:r>
      <w:r w:rsidR="00DF4536">
        <w:rPr>
          <w:rFonts w:ascii="Garamond" w:hAnsi="Garamond" w:cs="Arial"/>
          <w:sz w:val="22"/>
          <w:szCs w:val="22"/>
        </w:rPr>
        <w:t>s.</w:t>
      </w:r>
      <w:r w:rsidRPr="00354357">
        <w:rPr>
          <w:rFonts w:ascii="Garamond" w:hAnsi="Garamond" w:cs="Arial"/>
          <w:sz w:val="22"/>
          <w:szCs w:val="22"/>
        </w:rPr>
        <w:t xml:space="preserve"> </w:t>
      </w:r>
    </w:p>
    <w:p w:rsidR="00354357" w:rsidRDefault="00354357" w:rsidP="00354357">
      <w:pPr>
        <w:pStyle w:val="Prrafodelista"/>
        <w:ind w:left="0"/>
        <w:jc w:val="both"/>
        <w:rPr>
          <w:rFonts w:ascii="Garamond" w:hAnsi="Garamond" w:cs="Arial"/>
          <w:sz w:val="22"/>
          <w:szCs w:val="22"/>
        </w:rPr>
      </w:pPr>
    </w:p>
    <w:p w:rsidR="00DF4536" w:rsidRPr="00DF4536" w:rsidRDefault="00DF4536" w:rsidP="00354357">
      <w:pPr>
        <w:pStyle w:val="Prrafodelista"/>
        <w:ind w:left="0"/>
        <w:jc w:val="both"/>
        <w:rPr>
          <w:rFonts w:ascii="Garamond" w:hAnsi="Garamond" w:cs="Arial"/>
          <w:b/>
          <w:sz w:val="22"/>
          <w:szCs w:val="22"/>
        </w:rPr>
      </w:pPr>
      <w:r w:rsidRPr="00DF4536">
        <w:rPr>
          <w:rFonts w:ascii="Garamond" w:hAnsi="Garamond" w:cs="Arial"/>
          <w:b/>
          <w:sz w:val="22"/>
          <w:szCs w:val="22"/>
        </w:rPr>
        <w:t>Historias de éxito</w:t>
      </w:r>
    </w:p>
    <w:p w:rsidR="00DF4536" w:rsidRPr="00354357" w:rsidRDefault="00DF4536" w:rsidP="00354357">
      <w:pPr>
        <w:pStyle w:val="Prrafodelista"/>
        <w:ind w:left="0"/>
        <w:jc w:val="both"/>
        <w:rPr>
          <w:rFonts w:ascii="Garamond" w:hAnsi="Garamond" w:cs="Arial"/>
          <w:sz w:val="22"/>
          <w:szCs w:val="22"/>
        </w:rPr>
      </w:pPr>
    </w:p>
    <w:p w:rsidR="00354357" w:rsidRPr="00DE2D7C" w:rsidRDefault="00354357" w:rsidP="00DE2D7C">
      <w:pPr>
        <w:pStyle w:val="Prrafodelista"/>
        <w:ind w:left="0"/>
        <w:jc w:val="both"/>
        <w:rPr>
          <w:rFonts w:ascii="Garamond" w:hAnsi="Garamond" w:cs="Arial"/>
          <w:sz w:val="22"/>
          <w:szCs w:val="22"/>
        </w:rPr>
      </w:pPr>
      <w:r w:rsidRPr="00354357">
        <w:rPr>
          <w:rFonts w:ascii="Garamond" w:hAnsi="Garamond" w:cs="Arial"/>
          <w:sz w:val="22"/>
          <w:szCs w:val="22"/>
        </w:rPr>
        <w:t>Con el fin de promover el conocimiento del derecho de acceso a información pública se propuso la creación de historias de éxito: para el 2016 se propuso realizar 1 noticia de éxito bimensual formato video corto de máximo un (1) minuto de duración donde se expone una situación de mejora de la calidad de vida de una persona después de solicit</w:t>
      </w:r>
      <w:r w:rsidR="00DF4536">
        <w:rPr>
          <w:rFonts w:ascii="Garamond" w:hAnsi="Garamond" w:cs="Arial"/>
          <w:sz w:val="22"/>
          <w:szCs w:val="22"/>
        </w:rPr>
        <w:t>ar información por medio de la L</w:t>
      </w:r>
      <w:r w:rsidRPr="00354357">
        <w:rPr>
          <w:rFonts w:ascii="Garamond" w:hAnsi="Garamond" w:cs="Arial"/>
          <w:sz w:val="22"/>
          <w:szCs w:val="22"/>
        </w:rPr>
        <w:t xml:space="preserve">ey de </w:t>
      </w:r>
      <w:r w:rsidR="00DF4536">
        <w:rPr>
          <w:rFonts w:ascii="Garamond" w:hAnsi="Garamond" w:cs="Arial"/>
          <w:sz w:val="22"/>
          <w:szCs w:val="22"/>
        </w:rPr>
        <w:t>T</w:t>
      </w:r>
      <w:r w:rsidRPr="00354357">
        <w:rPr>
          <w:rFonts w:ascii="Garamond" w:hAnsi="Garamond" w:cs="Arial"/>
          <w:sz w:val="22"/>
          <w:szCs w:val="22"/>
        </w:rPr>
        <w:t>ransparencia</w:t>
      </w:r>
      <w:r w:rsidR="00DF4536">
        <w:rPr>
          <w:rFonts w:ascii="Garamond" w:hAnsi="Garamond" w:cs="Arial"/>
          <w:sz w:val="22"/>
          <w:szCs w:val="22"/>
        </w:rPr>
        <w:t>.</w:t>
      </w:r>
    </w:p>
    <w:p w:rsidR="00354357" w:rsidRPr="000B3355" w:rsidRDefault="00354357" w:rsidP="00354357">
      <w:pPr>
        <w:spacing w:line="276" w:lineRule="auto"/>
        <w:jc w:val="both"/>
        <w:rPr>
          <w:rFonts w:cstheme="minorHAnsi"/>
          <w:b/>
          <w:lang w:val="es-CO"/>
        </w:rPr>
      </w:pPr>
    </w:p>
    <w:p w:rsidR="00354357" w:rsidRPr="000B3355" w:rsidRDefault="00354357" w:rsidP="00354357">
      <w:pPr>
        <w:spacing w:line="276" w:lineRule="auto"/>
        <w:jc w:val="both"/>
        <w:rPr>
          <w:rFonts w:cstheme="minorHAnsi"/>
          <w:b/>
          <w:lang w:val="es-CO"/>
        </w:rPr>
      </w:pPr>
    </w:p>
    <w:p w:rsidR="00354357" w:rsidRPr="000B3355" w:rsidRDefault="00DE2D7C" w:rsidP="00354357">
      <w:pPr>
        <w:pStyle w:val="Prrafodelista"/>
        <w:numPr>
          <w:ilvl w:val="0"/>
          <w:numId w:val="16"/>
        </w:numPr>
        <w:spacing w:line="276" w:lineRule="auto"/>
        <w:contextualSpacing w:val="0"/>
        <w:jc w:val="both"/>
        <w:rPr>
          <w:rFonts w:ascii="Garamond" w:hAnsi="Garamond" w:cstheme="minorHAnsi"/>
          <w:b/>
        </w:rPr>
      </w:pPr>
      <w:r>
        <w:rPr>
          <w:rFonts w:ascii="Garamond" w:hAnsi="Garamond" w:cstheme="minorHAnsi"/>
          <w:b/>
        </w:rPr>
        <w:t>RELATORÍ</w:t>
      </w:r>
      <w:r w:rsidR="00354357" w:rsidRPr="000B3355">
        <w:rPr>
          <w:rFonts w:ascii="Garamond" w:hAnsi="Garamond" w:cstheme="minorHAnsi"/>
          <w:b/>
        </w:rPr>
        <w:t>A</w:t>
      </w:r>
    </w:p>
    <w:p w:rsidR="00DE2D7C" w:rsidRDefault="00DE2D7C" w:rsidP="000B3355">
      <w:pPr>
        <w:jc w:val="both"/>
        <w:rPr>
          <w:lang w:val="es-CO"/>
        </w:rPr>
      </w:pPr>
    </w:p>
    <w:p w:rsidR="000B3355" w:rsidRPr="000B3355" w:rsidRDefault="00DE2D7C" w:rsidP="00DE2D7C">
      <w:pPr>
        <w:jc w:val="both"/>
        <w:rPr>
          <w:rFonts w:cs="Arial"/>
          <w:lang w:val="es-CO"/>
        </w:rPr>
      </w:pPr>
      <w:r>
        <w:rPr>
          <w:lang w:val="es-CO"/>
        </w:rPr>
        <w:t>Se ha</w:t>
      </w:r>
      <w:r w:rsidR="000B3355" w:rsidRPr="000B3355">
        <w:rPr>
          <w:lang w:val="es-CO"/>
        </w:rPr>
        <w:t xml:space="preserve"> adelantado </w:t>
      </w:r>
      <w:r>
        <w:rPr>
          <w:lang w:val="es-CO"/>
        </w:rPr>
        <w:t xml:space="preserve">la </w:t>
      </w:r>
      <w:r w:rsidR="000B3355" w:rsidRPr="000B3355">
        <w:rPr>
          <w:lang w:val="es-CO"/>
        </w:rPr>
        <w:t>revisión de tutelas en las instalaciones de la Corte Constitucional que dicha entidad califica en sus bases de datos en los rubros de Derecho de Petición en su modalidad de solicitud de información, copias y procedimientos</w:t>
      </w:r>
      <w:r>
        <w:rPr>
          <w:lang w:val="es-CO"/>
        </w:rPr>
        <w:t xml:space="preserve">, </w:t>
      </w:r>
      <w:r w:rsidRPr="000B3355">
        <w:rPr>
          <w:lang w:val="es-CO"/>
        </w:rPr>
        <w:t>diligencian</w:t>
      </w:r>
      <w:r>
        <w:rPr>
          <w:lang w:val="es-CO"/>
        </w:rPr>
        <w:t>do</w:t>
      </w:r>
      <w:r w:rsidRPr="000B3355">
        <w:rPr>
          <w:lang w:val="es-CO"/>
        </w:rPr>
        <w:t xml:space="preserve"> una reseña esquemática de la decisión de tutela</w:t>
      </w:r>
      <w:r w:rsidR="000B3355" w:rsidRPr="000B3355">
        <w:rPr>
          <w:lang w:val="es-CO"/>
        </w:rPr>
        <w:t>. Esta actividad se ha realizado en conjunt</w:t>
      </w:r>
      <w:r>
        <w:rPr>
          <w:lang w:val="es-CO"/>
        </w:rPr>
        <w:t>o con la Defensoría del Pueblo. Se han revisado durante este I Semestre 75 tutelas.</w:t>
      </w:r>
    </w:p>
    <w:p w:rsidR="000B3355" w:rsidRPr="000B3355" w:rsidRDefault="000B3355" w:rsidP="000B3355">
      <w:pPr>
        <w:pStyle w:val="Sinespaciado"/>
        <w:tabs>
          <w:tab w:val="left" w:pos="6946"/>
        </w:tabs>
        <w:jc w:val="both"/>
        <w:rPr>
          <w:rFonts w:cs="Arial"/>
          <w:szCs w:val="22"/>
          <w:lang w:val="es-CO"/>
        </w:rPr>
      </w:pPr>
    </w:p>
    <w:p w:rsidR="000B3355" w:rsidRPr="000B3355" w:rsidRDefault="000B3355" w:rsidP="000B3355">
      <w:pPr>
        <w:pStyle w:val="Sinespaciado"/>
        <w:tabs>
          <w:tab w:val="left" w:pos="6946"/>
        </w:tabs>
        <w:jc w:val="both"/>
        <w:rPr>
          <w:rFonts w:cs="Arial"/>
          <w:szCs w:val="22"/>
          <w:lang w:val="es-CO"/>
        </w:rPr>
      </w:pPr>
      <w:r w:rsidRPr="000B3355">
        <w:rPr>
          <w:rFonts w:cs="Arial"/>
          <w:szCs w:val="22"/>
          <w:lang w:val="es-CO"/>
        </w:rPr>
        <w:t>Se han estudiado las tutelas que publicadas en el sistema de consulta de la Rama Judicial usando el criterio de búsqueda “información”, las tutelas de interés se publican con su enlace web en el micro</w:t>
      </w:r>
      <w:r w:rsidR="00DE2D7C">
        <w:rPr>
          <w:rFonts w:cs="Arial"/>
          <w:szCs w:val="22"/>
          <w:lang w:val="es-CO"/>
        </w:rPr>
        <w:t xml:space="preserve"> </w:t>
      </w:r>
      <w:r w:rsidRPr="000B3355">
        <w:rPr>
          <w:rFonts w:cs="Arial"/>
          <w:szCs w:val="22"/>
          <w:lang w:val="es-CO"/>
        </w:rPr>
        <w:t>sitio del Grupo de Transparencia y del Derecho de Acceso a la Información Pública.</w:t>
      </w:r>
    </w:p>
    <w:p w:rsidR="000B3355" w:rsidRPr="000B3355" w:rsidRDefault="000B3355" w:rsidP="000B3355">
      <w:pPr>
        <w:pStyle w:val="Sinespaciado"/>
        <w:tabs>
          <w:tab w:val="left" w:pos="6946"/>
        </w:tabs>
        <w:jc w:val="both"/>
        <w:rPr>
          <w:rFonts w:cs="Arial"/>
          <w:szCs w:val="22"/>
          <w:lang w:val="es-CO"/>
        </w:rPr>
      </w:pPr>
    </w:p>
    <w:p w:rsidR="000B3355" w:rsidRPr="000B3355" w:rsidRDefault="000B3355" w:rsidP="000B3355">
      <w:pPr>
        <w:pStyle w:val="Sinespaciado"/>
        <w:tabs>
          <w:tab w:val="left" w:pos="6946"/>
        </w:tabs>
        <w:jc w:val="both"/>
        <w:rPr>
          <w:rFonts w:cs="Arial"/>
          <w:szCs w:val="22"/>
          <w:lang w:val="es-CO"/>
        </w:rPr>
      </w:pPr>
      <w:r w:rsidRPr="000B3355">
        <w:rPr>
          <w:rFonts w:cs="Arial"/>
          <w:szCs w:val="22"/>
          <w:lang w:val="es-CO"/>
        </w:rPr>
        <w:t>A su vez en el sitio web de la Procuraduría General de la Nación, en el micro</w:t>
      </w:r>
      <w:r w:rsidR="00DE2D7C">
        <w:rPr>
          <w:rFonts w:cs="Arial"/>
          <w:szCs w:val="22"/>
          <w:lang w:val="es-CO"/>
        </w:rPr>
        <w:t xml:space="preserve"> </w:t>
      </w:r>
      <w:r w:rsidRPr="000B3355">
        <w:rPr>
          <w:rFonts w:cs="Arial"/>
          <w:szCs w:val="22"/>
          <w:lang w:val="es-CO"/>
        </w:rPr>
        <w:t>sitio del Grupo de Transparencia y del Derecho de Acceso a la Información Pública se ha publicado en la sección de relatoría la normatividad y tutelas de importancia referentes al derecho de acceso a la información pública, tanto de la vigencia 2016, 2015 como de los años anteriores.</w:t>
      </w:r>
    </w:p>
    <w:p w:rsidR="000B3355" w:rsidRPr="000B3355" w:rsidRDefault="000B3355" w:rsidP="000B3355">
      <w:pPr>
        <w:pStyle w:val="Sinespaciado"/>
        <w:tabs>
          <w:tab w:val="left" w:pos="6946"/>
        </w:tabs>
        <w:jc w:val="both"/>
        <w:rPr>
          <w:rFonts w:cs="Arial"/>
          <w:szCs w:val="22"/>
          <w:lang w:val="es-CO"/>
        </w:rPr>
      </w:pPr>
    </w:p>
    <w:p w:rsidR="000B3355" w:rsidRPr="000B3355" w:rsidRDefault="000B3355" w:rsidP="000B3355">
      <w:pPr>
        <w:jc w:val="both"/>
        <w:rPr>
          <w:lang w:val="es-CO"/>
        </w:rPr>
      </w:pPr>
      <w:r w:rsidRPr="000B3355">
        <w:rPr>
          <w:lang w:val="es-CO"/>
        </w:rPr>
        <w:t>En el estudio de las tutelas se ha evidenciado que existe desconocimiento por parte de la ciudadanía sobre el derecho de acceso a la información pública y el alcance de la Ley 1712 de 2014. En la mayoría de los casos las personas invocan la protección del derecho con fundamento en el derecho de petición en su modalidad de solicitud de copias y el derecho a ser informado.</w:t>
      </w:r>
    </w:p>
    <w:p w:rsidR="000B3355" w:rsidRPr="000B3355" w:rsidRDefault="000B3355" w:rsidP="000B3355">
      <w:pPr>
        <w:jc w:val="both"/>
        <w:rPr>
          <w:lang w:val="es-CO"/>
        </w:rPr>
      </w:pPr>
    </w:p>
    <w:p w:rsidR="000B3355" w:rsidRPr="000B3355" w:rsidRDefault="000B3355" w:rsidP="000B3355">
      <w:pPr>
        <w:jc w:val="both"/>
        <w:rPr>
          <w:lang w:val="es-CO"/>
        </w:rPr>
      </w:pPr>
      <w:r w:rsidRPr="000B3355">
        <w:rPr>
          <w:lang w:val="es-CO"/>
        </w:rPr>
        <w:t xml:space="preserve">La población tiene dificultades de acceder a información pública cuando se la solicitan a los sujetos obligados de la Ley 1712 de 2014. Entre los diversos impedimentos se destaca la no respuesta de las entidades a los derechos de petición- incluidas entidades públicas- así como la no respuesta de fondo y completa a la información requerida, por lo que el ciudadano tiene que presentar una tutela para </w:t>
      </w:r>
      <w:r w:rsidRPr="000B3355">
        <w:rPr>
          <w:lang w:val="es-CO"/>
        </w:rPr>
        <w:lastRenderedPageBreak/>
        <w:t>recibir la información pública, es por esta razón que una vez que se inicia el proceso constitucional las entidades brindan la respuesta requerida, por tanto los ciudadanos desisten de la acción constitucional o el juez de tutela establece que hubo un hecho superado.</w:t>
      </w:r>
    </w:p>
    <w:p w:rsidR="000B3355" w:rsidRPr="000B3355" w:rsidRDefault="000B3355" w:rsidP="000B3355">
      <w:pPr>
        <w:jc w:val="both"/>
        <w:rPr>
          <w:lang w:val="es-CO"/>
        </w:rPr>
      </w:pPr>
    </w:p>
    <w:p w:rsidR="000B3355" w:rsidRPr="000B3355" w:rsidRDefault="000B3355" w:rsidP="000B3355">
      <w:pPr>
        <w:jc w:val="both"/>
        <w:rPr>
          <w:lang w:val="es-CO"/>
        </w:rPr>
      </w:pPr>
      <w:r w:rsidRPr="000B3355">
        <w:rPr>
          <w:lang w:val="es-CO"/>
        </w:rPr>
        <w:t>A pesar de que semanalmente se realizan la revisión de tutelas se ha observado que en ningún caso revisado se invoca el derecho de acceso a la información pública como un derecho autónomo.</w:t>
      </w:r>
    </w:p>
    <w:p w:rsidR="000B3355" w:rsidRPr="000B3355" w:rsidRDefault="000B3355" w:rsidP="000B3355">
      <w:pPr>
        <w:jc w:val="both"/>
        <w:rPr>
          <w:lang w:val="es-CO"/>
        </w:rPr>
      </w:pPr>
    </w:p>
    <w:p w:rsidR="000C297D" w:rsidRDefault="000B3355" w:rsidP="009E4C91">
      <w:pPr>
        <w:jc w:val="both"/>
        <w:rPr>
          <w:rFonts w:cstheme="minorHAnsi"/>
          <w:b/>
          <w:bCs/>
          <w:color w:val="000000"/>
          <w:lang w:val="es-CO" w:eastAsia="es-CO"/>
        </w:rPr>
      </w:pPr>
      <w:r w:rsidRPr="000B3355">
        <w:rPr>
          <w:lang w:val="es-CO"/>
        </w:rPr>
        <w:t>Se han observado casos donde se eleva el derechos de petición solicitando documentos que se encuentra en los Sistemas de Información del Estado (ej.: SECOP y SUIT), sin embargo, las entidades obstaculizan la entrega de la información requerida por los ciudadanos.</w:t>
      </w:r>
    </w:p>
    <w:p w:rsidR="008149CB" w:rsidRPr="00A5235E" w:rsidRDefault="008149CB" w:rsidP="00A5235E">
      <w:pPr>
        <w:jc w:val="both"/>
        <w:rPr>
          <w:rFonts w:cstheme="minorHAnsi"/>
        </w:rPr>
      </w:pPr>
    </w:p>
    <w:sectPr w:rsidR="008149CB" w:rsidRPr="00A5235E" w:rsidSect="008A309E">
      <w:headerReference w:type="even" r:id="rId9"/>
      <w:headerReference w:type="default" r:id="rId10"/>
      <w:footerReference w:type="even" r:id="rId11"/>
      <w:footerReference w:type="default" r:id="rId12"/>
      <w:headerReference w:type="first" r:id="rId13"/>
      <w:pgSz w:w="12240" w:h="18720" w:code="14"/>
      <w:pgMar w:top="1440" w:right="1800" w:bottom="1440" w:left="1800" w:header="567" w:footer="39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536" w:rsidRDefault="00DF4536">
      <w:pPr>
        <w:rPr>
          <w:lang w:val="es-ES"/>
        </w:rPr>
      </w:pPr>
      <w:r>
        <w:rPr>
          <w:lang w:val="es-ES"/>
        </w:rPr>
        <w:separator/>
      </w:r>
    </w:p>
  </w:endnote>
  <w:endnote w:type="continuationSeparator" w:id="0">
    <w:p w:rsidR="00DF4536" w:rsidRDefault="00DF4536">
      <w:pPr>
        <w:rPr>
          <w:lang w:val="es-ES"/>
        </w:rPr>
      </w:pPr>
      <w:r>
        <w:rPr>
          <w:lang w:val="es-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536" w:rsidRDefault="00DF4536">
    <w:pPr>
      <w:pStyle w:val="Piedepgina"/>
    </w:pPr>
  </w:p>
  <w:p w:rsidR="00DF4536" w:rsidRPr="001D025C" w:rsidRDefault="00DF4536" w:rsidP="00C448A0">
    <w:pPr>
      <w:pBdr>
        <w:top w:val="thinThickSmallGap" w:sz="24" w:space="1" w:color="622423"/>
      </w:pBdr>
      <w:tabs>
        <w:tab w:val="right" w:pos="8273"/>
      </w:tabs>
      <w:jc w:val="center"/>
      <w:rPr>
        <w:b/>
        <w:sz w:val="16"/>
        <w:szCs w:val="16"/>
        <w:lang w:val="es-CO"/>
      </w:rPr>
    </w:pPr>
    <w:r>
      <w:tab/>
    </w:r>
    <w:proofErr w:type="spellStart"/>
    <w:r w:rsidRPr="00DF6060">
      <w:rPr>
        <w:b/>
        <w:sz w:val="16"/>
        <w:szCs w:val="16"/>
        <w:lang w:val="es-MX"/>
      </w:rPr>
      <w:t>Viceprocuraduría</w:t>
    </w:r>
    <w:proofErr w:type="spellEnd"/>
    <w:r w:rsidRPr="00DF6060">
      <w:rPr>
        <w:b/>
        <w:sz w:val="16"/>
        <w:szCs w:val="16"/>
        <w:lang w:val="es-MX"/>
      </w:rPr>
      <w:t xml:space="preserve"> General de la </w:t>
    </w:r>
    <w:proofErr w:type="gramStart"/>
    <w:r w:rsidRPr="00DF6060">
      <w:rPr>
        <w:b/>
        <w:sz w:val="16"/>
        <w:szCs w:val="16"/>
        <w:lang w:val="es-MX"/>
      </w:rPr>
      <w:t xml:space="preserve">Nación  </w:t>
    </w:r>
    <w:r w:rsidRPr="001D025C">
      <w:rPr>
        <w:b/>
        <w:sz w:val="16"/>
        <w:szCs w:val="16"/>
        <w:lang w:val="es-CO"/>
      </w:rPr>
      <w:t>PBX</w:t>
    </w:r>
    <w:proofErr w:type="gramEnd"/>
    <w:r w:rsidRPr="001D025C">
      <w:rPr>
        <w:b/>
        <w:sz w:val="16"/>
        <w:szCs w:val="16"/>
        <w:lang w:val="es-CO"/>
      </w:rPr>
      <w:t xml:space="preserve"> 587-8750 </w:t>
    </w:r>
    <w:r>
      <w:rPr>
        <w:b/>
        <w:sz w:val="16"/>
        <w:szCs w:val="16"/>
        <w:lang w:val="es-MX"/>
      </w:rPr>
      <w:t>Ext 12024 a 12034</w:t>
    </w:r>
    <w:r w:rsidRPr="00DF6060">
      <w:rPr>
        <w:b/>
        <w:sz w:val="16"/>
        <w:szCs w:val="16"/>
        <w:lang w:val="es-MX"/>
      </w:rPr>
      <w:t xml:space="preserve"> </w:t>
    </w:r>
    <w:r w:rsidRPr="001D025C">
      <w:rPr>
        <w:b/>
        <w:sz w:val="16"/>
        <w:szCs w:val="16"/>
        <w:lang w:val="es-CO"/>
      </w:rPr>
      <w:t>Carrera 5 # 15-80 Piso 20</w:t>
    </w:r>
  </w:p>
  <w:p w:rsidR="00DF4536" w:rsidRPr="00DF6060" w:rsidRDefault="00DF4536" w:rsidP="00C448A0">
    <w:pPr>
      <w:pBdr>
        <w:top w:val="thinThickSmallGap" w:sz="24" w:space="1" w:color="622423"/>
      </w:pBdr>
      <w:tabs>
        <w:tab w:val="right" w:pos="8273"/>
      </w:tabs>
      <w:jc w:val="center"/>
      <w:rPr>
        <w:rFonts w:ascii="Cambria" w:hAnsi="Cambria"/>
        <w:sz w:val="16"/>
        <w:szCs w:val="16"/>
        <w:lang w:val="es-ES"/>
      </w:rPr>
    </w:pPr>
    <w:hyperlink r:id="rId1" w:history="1">
      <w:r w:rsidRPr="00F16A3E">
        <w:rPr>
          <w:rStyle w:val="Hipervnculo"/>
          <w:b/>
          <w:sz w:val="16"/>
          <w:szCs w:val="16"/>
        </w:rPr>
        <w:t>grupotransparencia@procuraduria.gov.co</w:t>
      </w:r>
    </w:hyperlink>
    <w:r>
      <w:rPr>
        <w:b/>
        <w:sz w:val="16"/>
        <w:szCs w:val="16"/>
      </w:rPr>
      <w:t xml:space="preserve"> </w:t>
    </w:r>
  </w:p>
  <w:p w:rsidR="00DF4536" w:rsidRDefault="00DF4536" w:rsidP="00C448A0">
    <w:pPr>
      <w:pStyle w:val="Piedepgina"/>
      <w:tabs>
        <w:tab w:val="clear" w:pos="4419"/>
        <w:tab w:val="clear" w:pos="8838"/>
        <w:tab w:val="left" w:pos="127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536" w:rsidRPr="001D025C" w:rsidRDefault="00DF4536" w:rsidP="00C448A0">
    <w:pPr>
      <w:pBdr>
        <w:top w:val="thinThickSmallGap" w:sz="24" w:space="1" w:color="622423"/>
      </w:pBdr>
      <w:tabs>
        <w:tab w:val="right" w:pos="8273"/>
      </w:tabs>
      <w:jc w:val="center"/>
      <w:rPr>
        <w:b/>
        <w:sz w:val="16"/>
        <w:szCs w:val="16"/>
        <w:lang w:val="es-CO"/>
      </w:rPr>
    </w:pPr>
    <w:proofErr w:type="spellStart"/>
    <w:r w:rsidRPr="00DF6060">
      <w:rPr>
        <w:b/>
        <w:sz w:val="16"/>
        <w:szCs w:val="16"/>
        <w:lang w:val="es-MX"/>
      </w:rPr>
      <w:t>Viceprocuraduría</w:t>
    </w:r>
    <w:proofErr w:type="spellEnd"/>
    <w:r w:rsidRPr="00DF6060">
      <w:rPr>
        <w:b/>
        <w:sz w:val="16"/>
        <w:szCs w:val="16"/>
        <w:lang w:val="es-MX"/>
      </w:rPr>
      <w:t xml:space="preserve"> General de la </w:t>
    </w:r>
    <w:proofErr w:type="gramStart"/>
    <w:r w:rsidRPr="00DF6060">
      <w:rPr>
        <w:b/>
        <w:sz w:val="16"/>
        <w:szCs w:val="16"/>
        <w:lang w:val="es-MX"/>
      </w:rPr>
      <w:t xml:space="preserve">Nación  </w:t>
    </w:r>
    <w:r w:rsidRPr="001D025C">
      <w:rPr>
        <w:b/>
        <w:sz w:val="16"/>
        <w:szCs w:val="16"/>
        <w:lang w:val="es-CO"/>
      </w:rPr>
      <w:t>PBX</w:t>
    </w:r>
    <w:proofErr w:type="gramEnd"/>
    <w:r w:rsidRPr="001D025C">
      <w:rPr>
        <w:b/>
        <w:sz w:val="16"/>
        <w:szCs w:val="16"/>
        <w:lang w:val="es-CO"/>
      </w:rPr>
      <w:t xml:space="preserve"> 587-8750 </w:t>
    </w:r>
    <w:r>
      <w:rPr>
        <w:b/>
        <w:sz w:val="16"/>
        <w:szCs w:val="16"/>
        <w:lang w:val="es-MX"/>
      </w:rPr>
      <w:t>Ext 12024 a 12034</w:t>
    </w:r>
    <w:r w:rsidRPr="00DF6060">
      <w:rPr>
        <w:b/>
        <w:sz w:val="16"/>
        <w:szCs w:val="16"/>
        <w:lang w:val="es-MX"/>
      </w:rPr>
      <w:t xml:space="preserve"> </w:t>
    </w:r>
    <w:r w:rsidRPr="001D025C">
      <w:rPr>
        <w:b/>
        <w:sz w:val="16"/>
        <w:szCs w:val="16"/>
        <w:lang w:val="es-CO"/>
      </w:rPr>
      <w:t>Carrera 5 # 15-80 Piso 20</w:t>
    </w:r>
  </w:p>
  <w:p w:rsidR="00DF4536" w:rsidRPr="00DF6060" w:rsidRDefault="00DF4536" w:rsidP="00C448A0">
    <w:pPr>
      <w:pBdr>
        <w:top w:val="thinThickSmallGap" w:sz="24" w:space="1" w:color="622423"/>
      </w:pBdr>
      <w:tabs>
        <w:tab w:val="right" w:pos="8273"/>
      </w:tabs>
      <w:jc w:val="center"/>
      <w:rPr>
        <w:rFonts w:ascii="Cambria" w:hAnsi="Cambria"/>
        <w:sz w:val="16"/>
        <w:szCs w:val="16"/>
        <w:lang w:val="es-ES"/>
      </w:rPr>
    </w:pPr>
    <w:hyperlink r:id="rId1" w:history="1">
      <w:r w:rsidRPr="00F16A3E">
        <w:rPr>
          <w:rStyle w:val="Hipervnculo"/>
          <w:b/>
          <w:sz w:val="16"/>
          <w:szCs w:val="16"/>
        </w:rPr>
        <w:t>grupotransparencia@procuraduria.gov.co</w:t>
      </w:r>
    </w:hyperlink>
    <w:r>
      <w:rPr>
        <w:b/>
        <w:sz w:val="16"/>
        <w:szCs w:val="16"/>
      </w:rPr>
      <w:t xml:space="preserve"> </w:t>
    </w:r>
  </w:p>
  <w:p w:rsidR="00DF4536" w:rsidRDefault="00DF453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536" w:rsidRDefault="00DF4536">
      <w:pPr>
        <w:rPr>
          <w:lang w:val="es-ES"/>
        </w:rPr>
      </w:pPr>
      <w:r>
        <w:rPr>
          <w:lang w:val="es-ES"/>
        </w:rPr>
        <w:separator/>
      </w:r>
    </w:p>
  </w:footnote>
  <w:footnote w:type="continuationSeparator" w:id="0">
    <w:p w:rsidR="00DF4536" w:rsidRDefault="00DF4536">
      <w:pPr>
        <w:rPr>
          <w:lang w:val="es-ES"/>
        </w:rPr>
      </w:pPr>
      <w:r>
        <w:rPr>
          <w:lang w:val="es-ES"/>
        </w:rPr>
        <w:separator/>
      </w:r>
    </w:p>
  </w:footnote>
  <w:footnote w:type="continuationNotice" w:id="1">
    <w:p w:rsidR="00DF4536" w:rsidRDefault="00DF4536">
      <w:pPr>
        <w:rPr>
          <w:i/>
          <w:iCs/>
          <w:sz w:val="18"/>
          <w:szCs w:val="20"/>
          <w:lang w:val="es-ES"/>
        </w:rPr>
      </w:pPr>
      <w:r>
        <w:rPr>
          <w:i/>
          <w:iCs/>
          <w:sz w:val="18"/>
          <w:szCs w:val="20"/>
          <w:lang w:val="es-ES"/>
        </w:rPr>
        <w:t>(</w:t>
      </w:r>
      <w:proofErr w:type="gramStart"/>
      <w:r>
        <w:rPr>
          <w:i/>
          <w:iCs/>
          <w:sz w:val="18"/>
          <w:szCs w:val="20"/>
          <w:lang w:val="es-ES"/>
        </w:rPr>
        <w:t>continuación</w:t>
      </w:r>
      <w:proofErr w:type="gramEnd"/>
      <w:r>
        <w:rPr>
          <w:i/>
          <w:iCs/>
          <w:sz w:val="18"/>
          <w:szCs w:val="20"/>
          <w:lang w:val="es-ES"/>
        </w:rPr>
        <w:t xml:space="preserve"> de la nota al pie)</w:t>
      </w:r>
    </w:p>
  </w:footnote>
  <w:footnote w:id="2">
    <w:p w:rsidR="00DF4536" w:rsidRPr="00091805" w:rsidRDefault="00DF4536">
      <w:pPr>
        <w:pStyle w:val="Textonotapie"/>
        <w:rPr>
          <w:lang w:val="es-CO"/>
        </w:rPr>
      </w:pPr>
      <w:r>
        <w:rPr>
          <w:rStyle w:val="Refdenotaalpie"/>
        </w:rPr>
        <w:footnoteRef/>
      </w:r>
      <w:r w:rsidRPr="00091805">
        <w:rPr>
          <w:lang w:val="es-CO"/>
        </w:rPr>
        <w:t xml:space="preserve"> </w:t>
      </w:r>
      <w:r>
        <w:rPr>
          <w:lang w:val="es-CO"/>
        </w:rPr>
        <w:t>Informe de Cumplimiento: Ley de Transparencia y del Derecho de Acceso a la Información Pública en las Entidades Distritales,</w:t>
      </w:r>
      <w:r w:rsidRPr="00091805">
        <w:rPr>
          <w:lang w:val="es-CO"/>
        </w:rPr>
        <w:t xml:space="preserve"> </w:t>
      </w:r>
      <w:r>
        <w:rPr>
          <w:lang w:val="es-CO"/>
        </w:rPr>
        <w:t>Vigencia 2015, Veeduría Distrital de Bogotá, página 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536" w:rsidRDefault="00DF4536">
    <w:pPr>
      <w:pStyle w:val="Encabezado"/>
    </w:pPr>
  </w:p>
  <w:bookmarkStart w:id="1" w:name="_MON_1529389552"/>
  <w:bookmarkEnd w:id="1"/>
  <w:p w:rsidR="00DF4536" w:rsidRDefault="00DF4536" w:rsidP="00C448A0">
    <w:pPr>
      <w:jc w:val="center"/>
      <w:rPr>
        <w:sz w:val="20"/>
      </w:rPr>
    </w:pPr>
    <w:r w:rsidRPr="00ED2A08">
      <w:rPr>
        <w:sz w:val="20"/>
      </w:rPr>
      <w:object w:dxaOrig="1374" w:dyaOrig="1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57.6pt" o:ole="" fillcolor="window">
          <v:imagedata r:id="rId1" o:title=""/>
        </v:shape>
        <o:OLEObject Type="Embed" ProgID="Word.Picture.8" ShapeID="_x0000_i1025" DrawAspect="Content" ObjectID="_1529909266" r:id="rId2"/>
      </w:object>
    </w:r>
  </w:p>
  <w:p w:rsidR="00DF4536" w:rsidRPr="001D025C" w:rsidRDefault="00DF4536" w:rsidP="00C448A0">
    <w:pPr>
      <w:pBdr>
        <w:bottom w:val="single" w:sz="6" w:space="1" w:color="auto"/>
      </w:pBdr>
      <w:jc w:val="center"/>
      <w:rPr>
        <w:sz w:val="20"/>
        <w:lang w:val="es-CO"/>
      </w:rPr>
    </w:pPr>
    <w:r w:rsidRPr="001D025C">
      <w:rPr>
        <w:sz w:val="20"/>
        <w:lang w:val="es-CO"/>
      </w:rPr>
      <w:t xml:space="preserve">GRUPO DE TRANSPARENCIA Y DEL DERECHO DE ACCESO A LA INFORMACIÓN PÚBLICA </w:t>
    </w:r>
  </w:p>
  <w:p w:rsidR="00DF4536" w:rsidRPr="001D025C" w:rsidRDefault="00DF4536">
    <w:pPr>
      <w:pStyle w:val="Encabezado"/>
      <w:rPr>
        <w:lang w:val="es-C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536" w:rsidRDefault="00DF4536" w:rsidP="00C448A0">
    <w:pPr>
      <w:jc w:val="center"/>
      <w:rPr>
        <w:sz w:val="20"/>
      </w:rPr>
    </w:pPr>
    <w:r w:rsidRPr="00ED2A08">
      <w:rPr>
        <w:sz w:val="20"/>
      </w:rPr>
      <w:object w:dxaOrig="1374" w:dyaOrig="1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3.2pt;height:57.6pt" o:ole="" fillcolor="window">
          <v:imagedata r:id="rId1" o:title=""/>
        </v:shape>
        <o:OLEObject Type="Embed" ProgID="Word.Picture.8" ShapeID="_x0000_i1026" DrawAspect="Content" ObjectID="_1529909267" r:id="rId2"/>
      </w:object>
    </w:r>
  </w:p>
  <w:p w:rsidR="00DF4536" w:rsidRPr="001D025C" w:rsidRDefault="00DF4536" w:rsidP="00C448A0">
    <w:pPr>
      <w:pBdr>
        <w:bottom w:val="single" w:sz="6" w:space="1" w:color="auto"/>
      </w:pBdr>
      <w:jc w:val="center"/>
      <w:rPr>
        <w:sz w:val="20"/>
        <w:lang w:val="es-CO"/>
      </w:rPr>
    </w:pPr>
    <w:r w:rsidRPr="001D025C">
      <w:rPr>
        <w:sz w:val="20"/>
        <w:lang w:val="es-CO"/>
      </w:rPr>
      <w:t xml:space="preserve">GRUPO DE TRANSPARENCIA Y DEL DERECHO DE ACCESO A LA INFORMACIÓN PÚBLICA </w:t>
    </w:r>
  </w:p>
  <w:p w:rsidR="00DF4536" w:rsidRPr="001D025C" w:rsidRDefault="00DF4536" w:rsidP="00C448A0">
    <w:pPr>
      <w:pStyle w:val="Encabezado"/>
      <w:rPr>
        <w:lang w:val="es-CO"/>
      </w:rPr>
    </w:pPr>
  </w:p>
  <w:p w:rsidR="00DF4536" w:rsidRPr="001D025C" w:rsidRDefault="00DF4536">
    <w:pPr>
      <w:pStyle w:val="Encabezado"/>
      <w:rPr>
        <w:lang w:val="es-CO"/>
      </w:rPr>
    </w:pPr>
  </w:p>
  <w:p w:rsidR="00DF4536" w:rsidRPr="001D025C" w:rsidRDefault="00DF4536">
    <w:pPr>
      <w:pStyle w:val="Encabezado"/>
      <w:rPr>
        <w:lang w:val="es-CO"/>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536" w:rsidRDefault="00DF4536">
    <w:pPr>
      <w:pStyle w:val="Encabezado"/>
    </w:pPr>
  </w:p>
  <w:p w:rsidR="00DF4536" w:rsidRDefault="00DF453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760700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Listaconvietas"/>
      <w:lvlText w:val="*"/>
      <w:lvlJc w:val="left"/>
      <w:pPr>
        <w:ind w:left="0" w:firstLine="0"/>
      </w:pPr>
    </w:lvl>
  </w:abstractNum>
  <w:abstractNum w:abstractNumId="2" w15:restartNumberingAfterBreak="0">
    <w:nsid w:val="00B53E4F"/>
    <w:multiLevelType w:val="hybridMultilevel"/>
    <w:tmpl w:val="356265D6"/>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1517504E"/>
    <w:multiLevelType w:val="hybridMultilevel"/>
    <w:tmpl w:val="AFEEEC84"/>
    <w:lvl w:ilvl="0" w:tplc="240A0017">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8A110F0"/>
    <w:multiLevelType w:val="hybridMultilevel"/>
    <w:tmpl w:val="E4FE9402"/>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5" w15:restartNumberingAfterBreak="0">
    <w:nsid w:val="1C730EDD"/>
    <w:multiLevelType w:val="hybridMultilevel"/>
    <w:tmpl w:val="BA4431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F7E6579"/>
    <w:multiLevelType w:val="hybridMultilevel"/>
    <w:tmpl w:val="4D22AB34"/>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34A7955"/>
    <w:multiLevelType w:val="hybridMultilevel"/>
    <w:tmpl w:val="F80478A6"/>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322B4C82"/>
    <w:multiLevelType w:val="hybridMultilevel"/>
    <w:tmpl w:val="9260EDD4"/>
    <w:lvl w:ilvl="0" w:tplc="240A000F">
      <w:start w:val="1"/>
      <w:numFmt w:val="decimal"/>
      <w:lvlText w:val="%1."/>
      <w:lvlJc w:val="left"/>
      <w:pPr>
        <w:ind w:left="1800" w:hanging="360"/>
      </w:p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10" w15:restartNumberingAfterBreak="0">
    <w:nsid w:val="35E55587"/>
    <w:multiLevelType w:val="hybridMultilevel"/>
    <w:tmpl w:val="E4F057BA"/>
    <w:lvl w:ilvl="0" w:tplc="240A000F">
      <w:start w:val="1"/>
      <w:numFmt w:val="decimal"/>
      <w:lvlText w:val="%1."/>
      <w:lvlJc w:val="left"/>
      <w:pPr>
        <w:ind w:left="1429" w:hanging="360"/>
      </w:pPr>
    </w:lvl>
    <w:lvl w:ilvl="1" w:tplc="240A0019" w:tentative="1">
      <w:start w:val="1"/>
      <w:numFmt w:val="lowerLetter"/>
      <w:lvlText w:val="%2."/>
      <w:lvlJc w:val="left"/>
      <w:pPr>
        <w:ind w:left="2149" w:hanging="360"/>
      </w:pPr>
    </w:lvl>
    <w:lvl w:ilvl="2" w:tplc="240A001B" w:tentative="1">
      <w:start w:val="1"/>
      <w:numFmt w:val="lowerRoman"/>
      <w:lvlText w:val="%3."/>
      <w:lvlJc w:val="right"/>
      <w:pPr>
        <w:ind w:left="2869" w:hanging="180"/>
      </w:pPr>
    </w:lvl>
    <w:lvl w:ilvl="3" w:tplc="240A000F" w:tentative="1">
      <w:start w:val="1"/>
      <w:numFmt w:val="decimal"/>
      <w:lvlText w:val="%4."/>
      <w:lvlJc w:val="left"/>
      <w:pPr>
        <w:ind w:left="3589" w:hanging="360"/>
      </w:pPr>
    </w:lvl>
    <w:lvl w:ilvl="4" w:tplc="240A0019" w:tentative="1">
      <w:start w:val="1"/>
      <w:numFmt w:val="lowerLetter"/>
      <w:lvlText w:val="%5."/>
      <w:lvlJc w:val="left"/>
      <w:pPr>
        <w:ind w:left="4309" w:hanging="360"/>
      </w:pPr>
    </w:lvl>
    <w:lvl w:ilvl="5" w:tplc="240A001B" w:tentative="1">
      <w:start w:val="1"/>
      <w:numFmt w:val="lowerRoman"/>
      <w:lvlText w:val="%6."/>
      <w:lvlJc w:val="right"/>
      <w:pPr>
        <w:ind w:left="5029" w:hanging="180"/>
      </w:pPr>
    </w:lvl>
    <w:lvl w:ilvl="6" w:tplc="240A000F" w:tentative="1">
      <w:start w:val="1"/>
      <w:numFmt w:val="decimal"/>
      <w:lvlText w:val="%7."/>
      <w:lvlJc w:val="left"/>
      <w:pPr>
        <w:ind w:left="5749" w:hanging="360"/>
      </w:pPr>
    </w:lvl>
    <w:lvl w:ilvl="7" w:tplc="240A0019" w:tentative="1">
      <w:start w:val="1"/>
      <w:numFmt w:val="lowerLetter"/>
      <w:lvlText w:val="%8."/>
      <w:lvlJc w:val="left"/>
      <w:pPr>
        <w:ind w:left="6469" w:hanging="360"/>
      </w:pPr>
    </w:lvl>
    <w:lvl w:ilvl="8" w:tplc="240A001B" w:tentative="1">
      <w:start w:val="1"/>
      <w:numFmt w:val="lowerRoman"/>
      <w:lvlText w:val="%9."/>
      <w:lvlJc w:val="right"/>
      <w:pPr>
        <w:ind w:left="7189" w:hanging="180"/>
      </w:pPr>
    </w:lvl>
  </w:abstractNum>
  <w:abstractNum w:abstractNumId="11" w15:restartNumberingAfterBreak="0">
    <w:nsid w:val="37724FD6"/>
    <w:multiLevelType w:val="hybridMultilevel"/>
    <w:tmpl w:val="CBFAD1CE"/>
    <w:lvl w:ilvl="0" w:tplc="240A000F">
      <w:start w:val="1"/>
      <w:numFmt w:val="decimal"/>
      <w:lvlText w:val="%1."/>
      <w:lvlJc w:val="lef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12" w15:restartNumberingAfterBreak="0">
    <w:nsid w:val="3CA65A69"/>
    <w:multiLevelType w:val="hybridMultilevel"/>
    <w:tmpl w:val="907677D6"/>
    <w:lvl w:ilvl="0" w:tplc="76E0F36E">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3C11874"/>
    <w:multiLevelType w:val="hybridMultilevel"/>
    <w:tmpl w:val="F85EB10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637653C"/>
    <w:multiLevelType w:val="hybridMultilevel"/>
    <w:tmpl w:val="D8C6CA3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7B81889"/>
    <w:multiLevelType w:val="hybridMultilevel"/>
    <w:tmpl w:val="98BE239A"/>
    <w:lvl w:ilvl="0" w:tplc="7BEC89C4">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5A151B48"/>
    <w:multiLevelType w:val="hybridMultilevel"/>
    <w:tmpl w:val="9830E5F2"/>
    <w:lvl w:ilvl="0" w:tplc="8B941F58">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BAB0B09"/>
    <w:multiLevelType w:val="hybridMultilevel"/>
    <w:tmpl w:val="0B4E26B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5DB81ABA"/>
    <w:multiLevelType w:val="hybridMultilevel"/>
    <w:tmpl w:val="EFFEA326"/>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9" w15:restartNumberingAfterBreak="0">
    <w:nsid w:val="5FCE3836"/>
    <w:multiLevelType w:val="hybridMultilevel"/>
    <w:tmpl w:val="48AC55D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89E39A3"/>
    <w:multiLevelType w:val="hybridMultilevel"/>
    <w:tmpl w:val="C5B8CF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C4A127D"/>
    <w:multiLevelType w:val="hybridMultilevel"/>
    <w:tmpl w:val="6E3EABC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D2E3CE5"/>
    <w:multiLevelType w:val="hybridMultilevel"/>
    <w:tmpl w:val="CD08347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2667EFC"/>
    <w:multiLevelType w:val="hybridMultilevel"/>
    <w:tmpl w:val="26D4DE02"/>
    <w:lvl w:ilvl="0" w:tplc="71A8B62C">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4" w15:restartNumberingAfterBreak="0">
    <w:nsid w:val="76B26182"/>
    <w:multiLevelType w:val="hybridMultilevel"/>
    <w:tmpl w:val="150A9F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AC359BF"/>
    <w:multiLevelType w:val="hybridMultilevel"/>
    <w:tmpl w:val="598CE26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6" w15:restartNumberingAfterBreak="0">
    <w:nsid w:val="7ADB6549"/>
    <w:multiLevelType w:val="hybridMultilevel"/>
    <w:tmpl w:val="EABCAF6E"/>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7" w15:restartNumberingAfterBreak="0">
    <w:nsid w:val="7C716083"/>
    <w:multiLevelType w:val="hybridMultilevel"/>
    <w:tmpl w:val="88C43428"/>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8" w15:restartNumberingAfterBreak="0">
    <w:nsid w:val="7F681425"/>
    <w:multiLevelType w:val="hybridMultilevel"/>
    <w:tmpl w:val="F5D8DF5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1"/>
    <w:lvlOverride w:ilvl="0">
      <w:lvl w:ilvl="0">
        <w:numFmt w:val="bullet"/>
        <w:pStyle w:val="Listaconvietas"/>
        <w:lvlText w:val=""/>
        <w:legacy w:legacy="1" w:legacySpace="0" w:legacyIndent="360"/>
        <w:lvlJc w:val="left"/>
        <w:pPr>
          <w:ind w:left="0" w:hanging="360"/>
        </w:pPr>
        <w:rPr>
          <w:rFonts w:ascii="Wingdings" w:hAnsi="Wingdings" w:hint="default"/>
          <w:sz w:val="12"/>
        </w:rPr>
      </w:lvl>
    </w:lvlOverride>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5"/>
  </w:num>
  <w:num w:numId="9">
    <w:abstractNumId w:val="23"/>
  </w:num>
  <w:num w:numId="10">
    <w:abstractNumId w:val="23"/>
  </w:num>
  <w:num w:numId="11">
    <w:abstractNumId w:val="19"/>
  </w:num>
  <w:num w:numId="12">
    <w:abstractNumId w:val="12"/>
  </w:num>
  <w:num w:numId="13">
    <w:abstractNumId w:val="16"/>
  </w:num>
  <w:num w:numId="14">
    <w:abstractNumId w:val="9"/>
  </w:num>
  <w:num w:numId="15">
    <w:abstractNumId w:val="10"/>
  </w:num>
  <w:num w:numId="16">
    <w:abstractNumId w:val="21"/>
  </w:num>
  <w:num w:numId="17">
    <w:abstractNumId w:val="11"/>
  </w:num>
  <w:num w:numId="18">
    <w:abstractNumId w:val="20"/>
  </w:num>
  <w:num w:numId="19">
    <w:abstractNumId w:val="14"/>
  </w:num>
  <w:num w:numId="20">
    <w:abstractNumId w:val="5"/>
  </w:num>
  <w:num w:numId="21">
    <w:abstractNumId w:val="18"/>
  </w:num>
  <w:num w:numId="22">
    <w:abstractNumId w:val="13"/>
  </w:num>
  <w:num w:numId="23">
    <w:abstractNumId w:val="3"/>
  </w:num>
  <w:num w:numId="24">
    <w:abstractNumId w:val="15"/>
  </w:num>
  <w:num w:numId="25">
    <w:abstractNumId w:val="22"/>
  </w:num>
  <w:num w:numId="26">
    <w:abstractNumId w:val="28"/>
  </w:num>
  <w:num w:numId="27">
    <w:abstractNumId w:val="27"/>
  </w:num>
  <w:num w:numId="28">
    <w:abstractNumId w:val="4"/>
  </w:num>
  <w:num w:numId="29">
    <w:abstractNumId w:val="6"/>
  </w:num>
  <w:num w:numId="30">
    <w:abstractNumId w:val="2"/>
  </w:num>
  <w:num w:numId="31">
    <w:abstractNumId w:val="8"/>
  </w:num>
  <w:num w:numId="32">
    <w:abstractNumId w:val="26"/>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evenAndOddHeaders/>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18435"/>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A81"/>
    <w:rsid w:val="00011AC8"/>
    <w:rsid w:val="000153E9"/>
    <w:rsid w:val="0001753A"/>
    <w:rsid w:val="00025B8C"/>
    <w:rsid w:val="00051D73"/>
    <w:rsid w:val="00071A09"/>
    <w:rsid w:val="000722AC"/>
    <w:rsid w:val="0007262F"/>
    <w:rsid w:val="00091805"/>
    <w:rsid w:val="00093766"/>
    <w:rsid w:val="000A44F9"/>
    <w:rsid w:val="000A5710"/>
    <w:rsid w:val="000B3355"/>
    <w:rsid w:val="000C297D"/>
    <w:rsid w:val="000D371E"/>
    <w:rsid w:val="000E0279"/>
    <w:rsid w:val="000E3232"/>
    <w:rsid w:val="000F473E"/>
    <w:rsid w:val="00112C7A"/>
    <w:rsid w:val="00113267"/>
    <w:rsid w:val="00131012"/>
    <w:rsid w:val="001428C6"/>
    <w:rsid w:val="00151F94"/>
    <w:rsid w:val="00152D0F"/>
    <w:rsid w:val="00156AFF"/>
    <w:rsid w:val="00163B10"/>
    <w:rsid w:val="00165785"/>
    <w:rsid w:val="00166250"/>
    <w:rsid w:val="00177136"/>
    <w:rsid w:val="00191041"/>
    <w:rsid w:val="0019323B"/>
    <w:rsid w:val="00197D67"/>
    <w:rsid w:val="001C1A7B"/>
    <w:rsid w:val="001C662E"/>
    <w:rsid w:val="001D025C"/>
    <w:rsid w:val="001D188E"/>
    <w:rsid w:val="001F3313"/>
    <w:rsid w:val="00207AF2"/>
    <w:rsid w:val="0022000E"/>
    <w:rsid w:val="00220DDC"/>
    <w:rsid w:val="002261A9"/>
    <w:rsid w:val="00242846"/>
    <w:rsid w:val="002434D8"/>
    <w:rsid w:val="00245DD3"/>
    <w:rsid w:val="002770FA"/>
    <w:rsid w:val="0029161A"/>
    <w:rsid w:val="00295E74"/>
    <w:rsid w:val="002A285C"/>
    <w:rsid w:val="002A3E11"/>
    <w:rsid w:val="002C261B"/>
    <w:rsid w:val="002D75F4"/>
    <w:rsid w:val="002F3DB5"/>
    <w:rsid w:val="00317318"/>
    <w:rsid w:val="003341F1"/>
    <w:rsid w:val="003408BA"/>
    <w:rsid w:val="00342CEA"/>
    <w:rsid w:val="00344BFC"/>
    <w:rsid w:val="00354357"/>
    <w:rsid w:val="00356775"/>
    <w:rsid w:val="0038362F"/>
    <w:rsid w:val="003A3EE0"/>
    <w:rsid w:val="003A74C9"/>
    <w:rsid w:val="003B4A1A"/>
    <w:rsid w:val="003C4EFF"/>
    <w:rsid w:val="003E0D67"/>
    <w:rsid w:val="003E33A9"/>
    <w:rsid w:val="003F20FB"/>
    <w:rsid w:val="004000A0"/>
    <w:rsid w:val="00402C09"/>
    <w:rsid w:val="00423D1A"/>
    <w:rsid w:val="00423FB0"/>
    <w:rsid w:val="004259ED"/>
    <w:rsid w:val="00426A1C"/>
    <w:rsid w:val="00442455"/>
    <w:rsid w:val="00450939"/>
    <w:rsid w:val="00462CAC"/>
    <w:rsid w:val="004B1D56"/>
    <w:rsid w:val="004C13E5"/>
    <w:rsid w:val="004D0756"/>
    <w:rsid w:val="004D23BE"/>
    <w:rsid w:val="004D7A87"/>
    <w:rsid w:val="004E1A9B"/>
    <w:rsid w:val="004F3C93"/>
    <w:rsid w:val="004F6834"/>
    <w:rsid w:val="00515B5F"/>
    <w:rsid w:val="00527178"/>
    <w:rsid w:val="00530634"/>
    <w:rsid w:val="00540EC6"/>
    <w:rsid w:val="00541DF3"/>
    <w:rsid w:val="00547A17"/>
    <w:rsid w:val="005516AC"/>
    <w:rsid w:val="005542C6"/>
    <w:rsid w:val="0055757C"/>
    <w:rsid w:val="00560FB0"/>
    <w:rsid w:val="00565ADB"/>
    <w:rsid w:val="00571C40"/>
    <w:rsid w:val="00576EA2"/>
    <w:rsid w:val="005B031F"/>
    <w:rsid w:val="005B26C6"/>
    <w:rsid w:val="005B3562"/>
    <w:rsid w:val="005B72BA"/>
    <w:rsid w:val="005C2EB5"/>
    <w:rsid w:val="005D223A"/>
    <w:rsid w:val="005E57E6"/>
    <w:rsid w:val="00637B88"/>
    <w:rsid w:val="0065746F"/>
    <w:rsid w:val="00663FB1"/>
    <w:rsid w:val="00667E0D"/>
    <w:rsid w:val="0067784B"/>
    <w:rsid w:val="00682E64"/>
    <w:rsid w:val="0068369F"/>
    <w:rsid w:val="00691C0C"/>
    <w:rsid w:val="00693297"/>
    <w:rsid w:val="006A093D"/>
    <w:rsid w:val="006A5670"/>
    <w:rsid w:val="006B56C6"/>
    <w:rsid w:val="006D6B68"/>
    <w:rsid w:val="006E0D41"/>
    <w:rsid w:val="006E6E20"/>
    <w:rsid w:val="006F0D56"/>
    <w:rsid w:val="00701305"/>
    <w:rsid w:val="00720CDB"/>
    <w:rsid w:val="00741A17"/>
    <w:rsid w:val="0075044C"/>
    <w:rsid w:val="00753A18"/>
    <w:rsid w:val="007574FB"/>
    <w:rsid w:val="007640AD"/>
    <w:rsid w:val="00782C36"/>
    <w:rsid w:val="007851B8"/>
    <w:rsid w:val="007857E3"/>
    <w:rsid w:val="00790913"/>
    <w:rsid w:val="007962BC"/>
    <w:rsid w:val="007B1985"/>
    <w:rsid w:val="007B6A22"/>
    <w:rsid w:val="007D1AFD"/>
    <w:rsid w:val="007D6C9C"/>
    <w:rsid w:val="007E6629"/>
    <w:rsid w:val="007F0051"/>
    <w:rsid w:val="007F2B83"/>
    <w:rsid w:val="008047FE"/>
    <w:rsid w:val="008149CB"/>
    <w:rsid w:val="0081764E"/>
    <w:rsid w:val="00855DDD"/>
    <w:rsid w:val="00865114"/>
    <w:rsid w:val="008A309E"/>
    <w:rsid w:val="00911F59"/>
    <w:rsid w:val="0094008C"/>
    <w:rsid w:val="0094367B"/>
    <w:rsid w:val="00957CEA"/>
    <w:rsid w:val="009628D0"/>
    <w:rsid w:val="00964619"/>
    <w:rsid w:val="00967F98"/>
    <w:rsid w:val="00970452"/>
    <w:rsid w:val="009753F5"/>
    <w:rsid w:val="00975749"/>
    <w:rsid w:val="00992E91"/>
    <w:rsid w:val="009A18AF"/>
    <w:rsid w:val="009B2C9C"/>
    <w:rsid w:val="009B57EE"/>
    <w:rsid w:val="009C56FF"/>
    <w:rsid w:val="009C713D"/>
    <w:rsid w:val="009D4FA6"/>
    <w:rsid w:val="009D7821"/>
    <w:rsid w:val="009E4B73"/>
    <w:rsid w:val="009E4C91"/>
    <w:rsid w:val="009E54DC"/>
    <w:rsid w:val="009F10C2"/>
    <w:rsid w:val="009F11FE"/>
    <w:rsid w:val="009F178F"/>
    <w:rsid w:val="00A01610"/>
    <w:rsid w:val="00A36D07"/>
    <w:rsid w:val="00A5235E"/>
    <w:rsid w:val="00A71361"/>
    <w:rsid w:val="00A7441D"/>
    <w:rsid w:val="00A74625"/>
    <w:rsid w:val="00A9169F"/>
    <w:rsid w:val="00A9609A"/>
    <w:rsid w:val="00A96F27"/>
    <w:rsid w:val="00A97577"/>
    <w:rsid w:val="00AA6833"/>
    <w:rsid w:val="00AB25C4"/>
    <w:rsid w:val="00AD5CFC"/>
    <w:rsid w:val="00B0292B"/>
    <w:rsid w:val="00B05615"/>
    <w:rsid w:val="00B06EED"/>
    <w:rsid w:val="00B161EA"/>
    <w:rsid w:val="00B270D0"/>
    <w:rsid w:val="00B55A81"/>
    <w:rsid w:val="00B65EE6"/>
    <w:rsid w:val="00B70F5D"/>
    <w:rsid w:val="00B76C1B"/>
    <w:rsid w:val="00BA0C0A"/>
    <w:rsid w:val="00BA4E4A"/>
    <w:rsid w:val="00BB44E6"/>
    <w:rsid w:val="00BC41FF"/>
    <w:rsid w:val="00BE4D4B"/>
    <w:rsid w:val="00C21B02"/>
    <w:rsid w:val="00C23A9D"/>
    <w:rsid w:val="00C448A0"/>
    <w:rsid w:val="00C44992"/>
    <w:rsid w:val="00C47131"/>
    <w:rsid w:val="00C51B15"/>
    <w:rsid w:val="00C663D5"/>
    <w:rsid w:val="00C81660"/>
    <w:rsid w:val="00CB5BD1"/>
    <w:rsid w:val="00CB6D98"/>
    <w:rsid w:val="00CB7AE5"/>
    <w:rsid w:val="00CC2294"/>
    <w:rsid w:val="00CC6AB7"/>
    <w:rsid w:val="00CE14FB"/>
    <w:rsid w:val="00CE332F"/>
    <w:rsid w:val="00CF24A7"/>
    <w:rsid w:val="00CF6546"/>
    <w:rsid w:val="00D13F1A"/>
    <w:rsid w:val="00D27690"/>
    <w:rsid w:val="00D361F1"/>
    <w:rsid w:val="00D8341A"/>
    <w:rsid w:val="00D87449"/>
    <w:rsid w:val="00DB0B50"/>
    <w:rsid w:val="00DB1910"/>
    <w:rsid w:val="00DE2D7C"/>
    <w:rsid w:val="00DE3430"/>
    <w:rsid w:val="00DE4581"/>
    <w:rsid w:val="00DF18AE"/>
    <w:rsid w:val="00DF4536"/>
    <w:rsid w:val="00E056FD"/>
    <w:rsid w:val="00E123DA"/>
    <w:rsid w:val="00E22CDE"/>
    <w:rsid w:val="00E2493E"/>
    <w:rsid w:val="00E259F4"/>
    <w:rsid w:val="00E87735"/>
    <w:rsid w:val="00EA2339"/>
    <w:rsid w:val="00ED43C0"/>
    <w:rsid w:val="00ED45F0"/>
    <w:rsid w:val="00EE5643"/>
    <w:rsid w:val="00EF2C65"/>
    <w:rsid w:val="00F007FE"/>
    <w:rsid w:val="00F203F2"/>
    <w:rsid w:val="00F3593A"/>
    <w:rsid w:val="00F46FF5"/>
    <w:rsid w:val="00F52182"/>
    <w:rsid w:val="00F5671D"/>
    <w:rsid w:val="00F62350"/>
    <w:rsid w:val="00F720AA"/>
    <w:rsid w:val="00F816D4"/>
    <w:rsid w:val="00FA04E0"/>
    <w:rsid w:val="00FA4A22"/>
    <w:rsid w:val="00FC6D0D"/>
    <w:rsid w:val="00FF1006"/>
    <w:rsid w:val="00FF4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5"/>
    <o:shapelayout v:ext="edit">
      <o:idmap v:ext="edit" data="1"/>
    </o:shapelayout>
  </w:shapeDefaults>
  <w:decimalSymbol w:val=","/>
  <w:listSeparator w:val=","/>
  <w15:docId w15:val="{1EEE4BB7-16DD-4385-81CF-458E07A95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2C6"/>
    <w:rPr>
      <w:rFonts w:ascii="Garamond" w:hAnsi="Garamond" w:cs="Garamond"/>
      <w:sz w:val="22"/>
      <w:szCs w:val="22"/>
      <w:lang w:val="en-US" w:eastAsia="es-ES" w:bidi="hi-IN"/>
    </w:rPr>
  </w:style>
  <w:style w:type="paragraph" w:styleId="Ttulo1">
    <w:name w:val="heading 1"/>
    <w:basedOn w:val="Normal"/>
    <w:next w:val="Textoindependiente"/>
    <w:qFormat/>
    <w:pPr>
      <w:keepNext/>
      <w:keepLines/>
      <w:pBdr>
        <w:top w:val="single" w:sz="6" w:space="6" w:color="808080"/>
        <w:bottom w:val="single" w:sz="6" w:space="6" w:color="808080"/>
      </w:pBdr>
      <w:spacing w:after="240" w:line="240" w:lineRule="atLeast"/>
      <w:jc w:val="center"/>
      <w:outlineLvl w:val="0"/>
    </w:pPr>
    <w:rPr>
      <w:rFonts w:cs="Times New Roman"/>
      <w:b/>
      <w:caps/>
      <w:spacing w:val="20"/>
      <w:kern w:val="16"/>
      <w:sz w:val="18"/>
      <w:szCs w:val="18"/>
    </w:rPr>
  </w:style>
  <w:style w:type="paragraph" w:styleId="Ttulo2">
    <w:name w:val="heading 2"/>
    <w:basedOn w:val="Normal"/>
    <w:next w:val="Textoindependiente"/>
    <w:qFormat/>
    <w:pPr>
      <w:keepNext/>
      <w:keepLines/>
      <w:spacing w:after="180" w:line="240" w:lineRule="atLeast"/>
      <w:jc w:val="center"/>
      <w:outlineLvl w:val="1"/>
    </w:pPr>
    <w:rPr>
      <w:rFonts w:cs="Times New Roman"/>
      <w:b/>
      <w:caps/>
      <w:spacing w:val="10"/>
      <w:kern w:val="20"/>
      <w:sz w:val="18"/>
      <w:szCs w:val="18"/>
    </w:rPr>
  </w:style>
  <w:style w:type="paragraph" w:styleId="Ttulo3">
    <w:name w:val="heading 3"/>
    <w:basedOn w:val="Normal"/>
    <w:next w:val="Textoindependiente"/>
    <w:qFormat/>
    <w:pPr>
      <w:keepNext/>
      <w:keepLines/>
      <w:spacing w:before="240" w:after="180" w:line="240" w:lineRule="atLeast"/>
      <w:outlineLvl w:val="2"/>
    </w:pPr>
    <w:rPr>
      <w:rFonts w:cs="Times New Roman"/>
      <w:caps/>
      <w:kern w:val="20"/>
      <w:sz w:val="20"/>
      <w:szCs w:val="20"/>
    </w:rPr>
  </w:style>
  <w:style w:type="paragraph" w:styleId="Ttulo4">
    <w:name w:val="heading 4"/>
    <w:basedOn w:val="Normal"/>
    <w:next w:val="Textoindependiente"/>
    <w:qFormat/>
    <w:pPr>
      <w:keepNext/>
      <w:keepLines/>
      <w:spacing w:before="240" w:after="240" w:line="240" w:lineRule="atLeast"/>
      <w:ind w:left="360"/>
      <w:outlineLvl w:val="3"/>
    </w:pPr>
    <w:rPr>
      <w:rFonts w:cs="Times New Roman"/>
      <w:i/>
      <w:spacing w:val="5"/>
      <w:kern w:val="20"/>
      <w:sz w:val="24"/>
      <w:szCs w:val="24"/>
    </w:rPr>
  </w:style>
  <w:style w:type="paragraph" w:styleId="Ttulo5">
    <w:name w:val="heading 5"/>
    <w:basedOn w:val="Normal"/>
    <w:next w:val="Textoindependiente"/>
    <w:qFormat/>
    <w:pPr>
      <w:keepNext/>
      <w:keepLines/>
      <w:spacing w:line="240" w:lineRule="atLeast"/>
      <w:outlineLvl w:val="4"/>
    </w:pPr>
    <w:rPr>
      <w:rFonts w:cs="Times New Roman"/>
      <w:b/>
      <w:kern w:val="20"/>
    </w:rPr>
  </w:style>
  <w:style w:type="paragraph" w:styleId="Ttulo6">
    <w:name w:val="heading 6"/>
    <w:basedOn w:val="Normal"/>
    <w:next w:val="Textoindependiente"/>
    <w:qFormat/>
    <w:pPr>
      <w:keepNext/>
      <w:keepLines/>
      <w:spacing w:line="240" w:lineRule="atLeast"/>
      <w:outlineLvl w:val="5"/>
    </w:pPr>
    <w:rPr>
      <w:rFonts w:cs="Times New Roman"/>
      <w:i/>
      <w:spacing w:val="5"/>
      <w:kern w:val="20"/>
    </w:rPr>
  </w:style>
  <w:style w:type="paragraph" w:styleId="Ttulo7">
    <w:name w:val="heading 7"/>
    <w:basedOn w:val="Normal"/>
    <w:next w:val="Textoindependiente"/>
    <w:qFormat/>
    <w:pPr>
      <w:keepNext/>
      <w:keepLines/>
      <w:spacing w:line="240" w:lineRule="atLeast"/>
      <w:outlineLvl w:val="6"/>
    </w:pPr>
    <w:rPr>
      <w:caps/>
      <w:kern w:val="20"/>
      <w:sz w:val="18"/>
      <w:szCs w:val="18"/>
    </w:rPr>
  </w:style>
  <w:style w:type="paragraph" w:styleId="Ttulo8">
    <w:name w:val="heading 8"/>
    <w:basedOn w:val="Normal"/>
    <w:next w:val="Textoindependiente"/>
    <w:qFormat/>
    <w:pPr>
      <w:keepNext/>
      <w:keepLines/>
      <w:spacing w:line="240" w:lineRule="atLeast"/>
      <w:ind w:firstLine="360"/>
      <w:outlineLvl w:val="7"/>
    </w:pPr>
    <w:rPr>
      <w:i/>
      <w:spacing w:val="5"/>
      <w:kern w:val="20"/>
    </w:rPr>
  </w:style>
  <w:style w:type="paragraph" w:styleId="Ttulo9">
    <w:name w:val="heading 9"/>
    <w:basedOn w:val="Normal"/>
    <w:next w:val="Textoindependiente"/>
    <w:qFormat/>
    <w:pPr>
      <w:keepNext/>
      <w:keepLines/>
      <w:spacing w:line="240" w:lineRule="atLeast"/>
      <w:outlineLvl w:val="8"/>
    </w:pPr>
    <w:rPr>
      <w:spacing w:val="-5"/>
      <w:kern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spacing w:after="240" w:line="240" w:lineRule="atLeast"/>
      <w:ind w:firstLine="360"/>
      <w:jc w:val="both"/>
    </w:pPr>
  </w:style>
  <w:style w:type="paragraph" w:styleId="ndice1">
    <w:name w:val="index 1"/>
    <w:basedOn w:val="Normal"/>
    <w:semiHidden/>
    <w:rPr>
      <w:sz w:val="21"/>
      <w:szCs w:val="21"/>
    </w:rPr>
  </w:style>
  <w:style w:type="paragraph" w:styleId="ndice2">
    <w:name w:val="index 2"/>
    <w:basedOn w:val="Normal"/>
    <w:semiHidden/>
    <w:pPr>
      <w:ind w:hanging="240"/>
    </w:pPr>
    <w:rPr>
      <w:sz w:val="21"/>
      <w:szCs w:val="21"/>
    </w:rPr>
  </w:style>
  <w:style w:type="paragraph" w:styleId="ndice3">
    <w:name w:val="index 3"/>
    <w:basedOn w:val="Normal"/>
    <w:semiHidden/>
    <w:pPr>
      <w:ind w:left="480" w:hanging="240"/>
    </w:pPr>
    <w:rPr>
      <w:sz w:val="21"/>
      <w:szCs w:val="21"/>
    </w:rPr>
  </w:style>
  <w:style w:type="paragraph" w:styleId="ndice4">
    <w:name w:val="index 4"/>
    <w:basedOn w:val="Normal"/>
    <w:semiHidden/>
    <w:pPr>
      <w:ind w:left="600" w:hanging="240"/>
    </w:pPr>
    <w:rPr>
      <w:sz w:val="21"/>
      <w:szCs w:val="21"/>
    </w:rPr>
  </w:style>
  <w:style w:type="paragraph" w:styleId="ndice5">
    <w:name w:val="index 5"/>
    <w:basedOn w:val="Normal"/>
    <w:semiHidden/>
    <w:pPr>
      <w:ind w:left="840"/>
    </w:pPr>
    <w:rPr>
      <w:sz w:val="21"/>
      <w:szCs w:val="21"/>
    </w:rPr>
  </w:style>
  <w:style w:type="paragraph" w:styleId="TDC1">
    <w:name w:val="toc 1"/>
    <w:basedOn w:val="Normal"/>
    <w:semiHidden/>
    <w:pPr>
      <w:tabs>
        <w:tab w:val="right" w:leader="dot" w:pos="5040"/>
      </w:tabs>
    </w:pPr>
  </w:style>
  <w:style w:type="paragraph" w:styleId="TDC2">
    <w:name w:val="toc 2"/>
    <w:basedOn w:val="Normal"/>
    <w:semiHidden/>
    <w:pPr>
      <w:tabs>
        <w:tab w:val="right" w:leader="dot" w:pos="5040"/>
      </w:tabs>
    </w:pPr>
  </w:style>
  <w:style w:type="paragraph" w:styleId="TDC3">
    <w:name w:val="toc 3"/>
    <w:basedOn w:val="Normal"/>
    <w:semiHidden/>
    <w:pPr>
      <w:tabs>
        <w:tab w:val="right" w:leader="dot" w:pos="5040"/>
      </w:tabs>
    </w:pPr>
    <w:rPr>
      <w:i/>
    </w:rPr>
  </w:style>
  <w:style w:type="paragraph" w:styleId="TDC4">
    <w:name w:val="toc 4"/>
    <w:basedOn w:val="Normal"/>
    <w:semiHidden/>
    <w:pPr>
      <w:tabs>
        <w:tab w:val="right" w:leader="dot" w:pos="5040"/>
      </w:tabs>
    </w:pPr>
    <w:rPr>
      <w:i/>
    </w:rPr>
  </w:style>
  <w:style w:type="paragraph" w:styleId="TDC5">
    <w:name w:val="toc 5"/>
    <w:basedOn w:val="Normal"/>
    <w:semiHidden/>
    <w:rPr>
      <w:i/>
    </w:rPr>
  </w:style>
  <w:style w:type="paragraph" w:styleId="Textonotapie">
    <w:name w:val="footnote text"/>
    <w:basedOn w:val="Normal"/>
    <w:link w:val="TextonotapieCar"/>
    <w:uiPriority w:val="99"/>
  </w:style>
  <w:style w:type="paragraph" w:styleId="Textocomentario">
    <w:name w:val="annotation text"/>
    <w:basedOn w:val="Normal"/>
    <w:semiHidden/>
  </w:style>
  <w:style w:type="paragraph" w:styleId="Ttulodendice">
    <w:name w:val="index heading"/>
    <w:basedOn w:val="Normal"/>
    <w:next w:val="ndice1"/>
    <w:semiHidden/>
    <w:pPr>
      <w:spacing w:line="480" w:lineRule="atLeast"/>
    </w:pPr>
    <w:rPr>
      <w:spacing w:val="-5"/>
      <w:sz w:val="28"/>
      <w:szCs w:val="28"/>
    </w:rPr>
  </w:style>
  <w:style w:type="paragraph" w:styleId="Descripcin">
    <w:name w:val="caption"/>
    <w:basedOn w:val="Normal"/>
    <w:next w:val="Textoindependiente"/>
    <w:qFormat/>
    <w:pPr>
      <w:spacing w:after="240"/>
      <w:contextualSpacing/>
      <w:jc w:val="center"/>
    </w:pPr>
    <w:rPr>
      <w:i/>
    </w:rPr>
  </w:style>
  <w:style w:type="paragraph" w:styleId="Tabladeilustraciones">
    <w:name w:val="table of figures"/>
    <w:basedOn w:val="Normal"/>
    <w:semiHidden/>
  </w:style>
  <w:style w:type="paragraph" w:styleId="Textonotaalfinal">
    <w:name w:val="endnote text"/>
    <w:basedOn w:val="Normal"/>
    <w:semiHidden/>
  </w:style>
  <w:style w:type="paragraph" w:styleId="Textoconsangra">
    <w:name w:val="table of authorities"/>
    <w:basedOn w:val="Normal"/>
    <w:semiHidden/>
    <w:pPr>
      <w:tabs>
        <w:tab w:val="right" w:leader="dot" w:pos="7560"/>
      </w:tabs>
    </w:pPr>
  </w:style>
  <w:style w:type="paragraph" w:styleId="Textomacro">
    <w:name w:val="macro"/>
    <w:basedOn w:val="Textoindependiente"/>
    <w:semiHidden/>
    <w:rPr>
      <w:rFonts w:ascii="Courier New" w:hAnsi="Courier New" w:cs="Courier New"/>
    </w:rPr>
  </w:style>
  <w:style w:type="paragraph" w:styleId="Encabezadodelista">
    <w:name w:val="toa heading"/>
    <w:basedOn w:val="Normal"/>
    <w:next w:val="Textoconsangra"/>
    <w:semiHidden/>
    <w:pPr>
      <w:keepNext/>
      <w:spacing w:line="720" w:lineRule="atLeast"/>
    </w:pPr>
    <w:rPr>
      <w:caps/>
      <w:spacing w:val="-10"/>
      <w:kern w:val="28"/>
    </w:rPr>
  </w:style>
  <w:style w:type="paragraph" w:styleId="Listaconvietas">
    <w:name w:val="List Bullet"/>
    <w:basedOn w:val="Normal"/>
    <w:pPr>
      <w:numPr>
        <w:numId w:val="3"/>
      </w:numPr>
      <w:spacing w:after="240" w:line="240" w:lineRule="atLeast"/>
      <w:ind w:left="720" w:right="720"/>
      <w:jc w:val="both"/>
    </w:pPr>
  </w:style>
  <w:style w:type="paragraph" w:styleId="Subttulo">
    <w:name w:val="Subtitle"/>
    <w:basedOn w:val="Puesto"/>
    <w:next w:val="Textoindependiente"/>
    <w:qFormat/>
    <w:pPr>
      <w:spacing w:after="420"/>
    </w:pPr>
    <w:rPr>
      <w:spacing w:val="20"/>
      <w:sz w:val="22"/>
      <w:szCs w:val="22"/>
    </w:rPr>
  </w:style>
  <w:style w:type="paragraph" w:styleId="Puesto">
    <w:name w:val="Title"/>
    <w:basedOn w:val="Normal"/>
    <w:next w:val="Subttulo"/>
    <w:qFormat/>
    <w:pPr>
      <w:keepNext/>
      <w:keepLines/>
      <w:spacing w:before="140"/>
      <w:jc w:val="center"/>
    </w:pPr>
    <w:rPr>
      <w:caps/>
      <w:spacing w:val="60"/>
      <w:kern w:val="20"/>
      <w:sz w:val="44"/>
      <w:szCs w:val="44"/>
    </w:rPr>
  </w:style>
  <w:style w:type="character" w:customStyle="1" w:styleId="TextoindependienteCar">
    <w:name w:val="Texto independiente Car"/>
    <w:link w:val="Textoindependiente"/>
    <w:locked/>
    <w:rPr>
      <w:rFonts w:ascii="Garamond" w:hAnsi="Garamond" w:hint="default"/>
      <w:sz w:val="22"/>
      <w:lang w:val="es-ES" w:eastAsia="es-ES" w:bidi="es-ES"/>
    </w:rPr>
  </w:style>
  <w:style w:type="character" w:customStyle="1" w:styleId="BlockQuotationChar">
    <w:name w:val="Block Quotation Char"/>
    <w:link w:val="BlockQuotation"/>
    <w:locked/>
    <w:rPr>
      <w:rFonts w:ascii="Garamond" w:hAnsi="Garamond" w:hint="default"/>
      <w:i/>
      <w:iCs w:val="0"/>
      <w:sz w:val="22"/>
      <w:lang w:val="es-ES" w:eastAsia="es-ES" w:bidi="es-ES"/>
    </w:rPr>
  </w:style>
  <w:style w:type="paragraph" w:customStyle="1" w:styleId="BlockQuotation">
    <w:name w:val="Block Quotation"/>
    <w:basedOn w:val="Textoindependiente"/>
    <w:link w:val="BlockQuotationChar"/>
    <w:pPr>
      <w:keepLines/>
      <w:pBdr>
        <w:top w:val="single" w:sz="6" w:space="14" w:color="808080"/>
        <w:left w:val="single" w:sz="6" w:space="14" w:color="808080"/>
        <w:bottom w:val="single" w:sz="6" w:space="14" w:color="808080"/>
        <w:right w:val="single" w:sz="6" w:space="14" w:color="808080"/>
      </w:pBdr>
      <w:ind w:left="720" w:right="720" w:firstLine="0"/>
    </w:pPr>
    <w:rPr>
      <w:i/>
      <w:lang w:val="es-ES" w:bidi="es-ES"/>
    </w:rPr>
  </w:style>
  <w:style w:type="paragraph" w:customStyle="1" w:styleId="SubtitleCover">
    <w:name w:val="Subtitle Cover"/>
    <w:basedOn w:val="TitleCover"/>
    <w:next w:val="Textoindependiente"/>
    <w:pPr>
      <w:pBdr>
        <w:top w:val="single" w:sz="6" w:space="12" w:color="808080"/>
      </w:pBdr>
      <w:spacing w:after="0" w:line="440" w:lineRule="atLeast"/>
    </w:pPr>
    <w:rPr>
      <w:spacing w:val="30"/>
      <w:sz w:val="36"/>
      <w:szCs w:val="36"/>
    </w:rPr>
  </w:style>
  <w:style w:type="paragraph" w:customStyle="1" w:styleId="TitleCover">
    <w:name w:val="Title Cover"/>
    <w:basedOn w:val="Normal"/>
    <w:next w:val="SubtitleCover"/>
    <w:pPr>
      <w:keepNext/>
      <w:keepLines/>
      <w:spacing w:after="240" w:line="720" w:lineRule="atLeast"/>
      <w:jc w:val="center"/>
    </w:pPr>
    <w:rPr>
      <w:caps/>
      <w:spacing w:val="65"/>
      <w:kern w:val="20"/>
      <w:sz w:val="64"/>
      <w:szCs w:val="64"/>
      <w:lang w:val="es-ES" w:bidi="es-ES"/>
    </w:rPr>
  </w:style>
  <w:style w:type="paragraph" w:customStyle="1" w:styleId="Columnheadings">
    <w:name w:val="Column headings"/>
    <w:basedOn w:val="Normal"/>
    <w:pPr>
      <w:keepNext/>
      <w:spacing w:before="80"/>
      <w:jc w:val="center"/>
    </w:pPr>
    <w:rPr>
      <w:caps/>
      <w:sz w:val="14"/>
      <w:szCs w:val="14"/>
      <w:lang w:val="es-ES" w:bidi="es-ES"/>
    </w:rPr>
  </w:style>
  <w:style w:type="paragraph" w:customStyle="1" w:styleId="CompanyName">
    <w:name w:val="Company Name"/>
    <w:basedOn w:val="Textoindependiente"/>
    <w:pPr>
      <w:keepLines/>
      <w:framePr w:w="8640" w:h="1440" w:wrap="notBeside" w:vAnchor="page" w:hAnchor="margin" w:xAlign="center" w:y="889"/>
      <w:spacing w:after="40"/>
      <w:ind w:firstLine="0"/>
      <w:jc w:val="center"/>
    </w:pPr>
    <w:rPr>
      <w:caps/>
      <w:spacing w:val="75"/>
      <w:kern w:val="18"/>
      <w:lang w:val="es-ES" w:bidi="es-ES"/>
    </w:rPr>
  </w:style>
  <w:style w:type="paragraph" w:customStyle="1" w:styleId="Rowlabels">
    <w:name w:val="Row labels"/>
    <w:basedOn w:val="Normal"/>
    <w:pPr>
      <w:keepNext/>
      <w:spacing w:before="40"/>
    </w:pPr>
    <w:rPr>
      <w:sz w:val="18"/>
      <w:szCs w:val="18"/>
      <w:lang w:val="es-ES" w:bidi="es-ES"/>
    </w:rPr>
  </w:style>
  <w:style w:type="paragraph" w:customStyle="1" w:styleId="Percentage">
    <w:name w:val="Percentage"/>
    <w:basedOn w:val="Normal"/>
    <w:pPr>
      <w:spacing w:before="40"/>
      <w:jc w:val="center"/>
    </w:pPr>
    <w:rPr>
      <w:sz w:val="18"/>
      <w:szCs w:val="18"/>
      <w:lang w:val="es-ES" w:bidi="es-ES"/>
    </w:rPr>
  </w:style>
  <w:style w:type="character" w:customStyle="1" w:styleId="NumberedListChar">
    <w:name w:val="Numbered List Char"/>
    <w:link w:val="NumberedList"/>
    <w:locked/>
    <w:rPr>
      <w:rFonts w:ascii="Garamond" w:hAnsi="Garamond" w:hint="default"/>
      <w:sz w:val="22"/>
      <w:lang w:val="es-ES" w:eastAsia="es-ES" w:bidi="es-ES"/>
    </w:rPr>
  </w:style>
  <w:style w:type="paragraph" w:customStyle="1" w:styleId="NumberedList">
    <w:name w:val="Numbered List"/>
    <w:basedOn w:val="Normal"/>
    <w:link w:val="NumberedListChar"/>
    <w:pPr>
      <w:numPr>
        <w:numId w:val="5"/>
      </w:numPr>
      <w:spacing w:after="240" w:line="312" w:lineRule="auto"/>
      <w:contextualSpacing/>
    </w:pPr>
    <w:rPr>
      <w:lang w:val="es-ES" w:bidi="es-ES"/>
    </w:rPr>
  </w:style>
  <w:style w:type="character" w:customStyle="1" w:styleId="NumberedListBoldChar">
    <w:name w:val="Numbered List Bold Char"/>
    <w:link w:val="NumberedListBold"/>
    <w:locked/>
    <w:rPr>
      <w:rFonts w:ascii="Garamond" w:hAnsi="Garamond" w:hint="default"/>
      <w:b/>
      <w:bCs/>
      <w:sz w:val="22"/>
      <w:lang w:val="es-ES" w:eastAsia="es-ES" w:bidi="es-ES"/>
    </w:rPr>
  </w:style>
  <w:style w:type="paragraph" w:customStyle="1" w:styleId="NumberedListBold">
    <w:name w:val="Numbered List Bold"/>
    <w:basedOn w:val="NumberedList"/>
    <w:link w:val="NumberedListBoldChar"/>
    <w:rPr>
      <w:b/>
      <w:bCs/>
    </w:rPr>
  </w:style>
  <w:style w:type="paragraph" w:customStyle="1" w:styleId="LineSpace">
    <w:name w:val="Line Space"/>
    <w:basedOn w:val="Normal"/>
    <w:rPr>
      <w:rFonts w:ascii="Verdana" w:hAnsi="Verdana" w:cs="Verdana"/>
      <w:sz w:val="12"/>
      <w:szCs w:val="12"/>
      <w:lang w:val="es-ES" w:bidi="es-ES"/>
    </w:rPr>
  </w:style>
  <w:style w:type="character" w:styleId="Refdenotaalpie">
    <w:name w:val="footnote reference"/>
    <w:uiPriority w:val="99"/>
    <w:rPr>
      <w:vertAlign w:val="superscript"/>
    </w:rPr>
  </w:style>
  <w:style w:type="character" w:styleId="Refdecomentario">
    <w:name w:val="annotation reference"/>
    <w:semiHidden/>
    <w:rPr>
      <w:sz w:val="16"/>
    </w:rPr>
  </w:style>
  <w:style w:type="character" w:styleId="Nmerodepgina">
    <w:name w:val="page number"/>
    <w:rPr>
      <w:sz w:val="24"/>
    </w:rPr>
  </w:style>
  <w:style w:type="character" w:styleId="Refdenotaalfinal">
    <w:name w:val="endnote reference"/>
    <w:semiHidden/>
    <w:rPr>
      <w:vertAlign w:val="superscript"/>
    </w:rPr>
  </w:style>
  <w:style w:type="character" w:customStyle="1" w:styleId="Lead-inEmphasis">
    <w:name w:val="Lead-in Emphasis"/>
    <w:rPr>
      <w:caps/>
      <w:sz w:val="18"/>
      <w:lang w:val="es-ES" w:eastAsia="es-ES" w:bidi="es-ES"/>
    </w:rPr>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Cita">
    <w:name w:val="Quote"/>
    <w:basedOn w:val="Normal"/>
    <w:next w:val="Normal"/>
    <w:link w:val="CitaCar"/>
    <w:uiPriority w:val="29"/>
    <w:qFormat/>
    <w:rsid w:val="00E123DA"/>
    <w:pPr>
      <w:spacing w:before="200" w:after="160"/>
      <w:ind w:left="864" w:right="864"/>
      <w:jc w:val="center"/>
    </w:pPr>
    <w:rPr>
      <w:rFonts w:cs="Mangal"/>
      <w:i/>
      <w:iCs/>
      <w:color w:val="404040"/>
      <w:szCs w:val="20"/>
    </w:rPr>
  </w:style>
  <w:style w:type="character" w:customStyle="1" w:styleId="CitaCar">
    <w:name w:val="Cita Car"/>
    <w:link w:val="Cita"/>
    <w:uiPriority w:val="29"/>
    <w:rsid w:val="00E123DA"/>
    <w:rPr>
      <w:rFonts w:ascii="Garamond" w:hAnsi="Garamond" w:cs="Mangal"/>
      <w:i/>
      <w:iCs/>
      <w:color w:val="404040"/>
      <w:sz w:val="22"/>
      <w:lang w:eastAsia="es-ES" w:bidi="hi-IN"/>
    </w:rPr>
  </w:style>
  <w:style w:type="character" w:customStyle="1" w:styleId="EncabezadoCar">
    <w:name w:val="Encabezado Car"/>
    <w:link w:val="Encabezado"/>
    <w:uiPriority w:val="99"/>
    <w:rsid w:val="00E123DA"/>
    <w:rPr>
      <w:rFonts w:ascii="Garamond" w:hAnsi="Garamond" w:cs="Garamond"/>
      <w:sz w:val="22"/>
      <w:szCs w:val="22"/>
      <w:lang w:eastAsia="es-ES" w:bidi="hi-IN"/>
    </w:rPr>
  </w:style>
  <w:style w:type="character" w:customStyle="1" w:styleId="PiedepginaCar">
    <w:name w:val="Pie de página Car"/>
    <w:link w:val="Piedepgina"/>
    <w:uiPriority w:val="99"/>
    <w:rsid w:val="00530634"/>
    <w:rPr>
      <w:rFonts w:ascii="Garamond" w:hAnsi="Garamond" w:cs="Garamond"/>
      <w:sz w:val="22"/>
      <w:szCs w:val="22"/>
      <w:lang w:val="en-US" w:eastAsia="es-ES" w:bidi="hi-IN"/>
    </w:rPr>
  </w:style>
  <w:style w:type="character" w:customStyle="1" w:styleId="TextonotapieCar">
    <w:name w:val="Texto nota pie Car"/>
    <w:basedOn w:val="Fuentedeprrafopredeter"/>
    <w:link w:val="Textonotapie"/>
    <w:uiPriority w:val="99"/>
    <w:rsid w:val="00423D1A"/>
    <w:rPr>
      <w:rFonts w:ascii="Garamond" w:hAnsi="Garamond" w:cs="Garamond"/>
      <w:sz w:val="22"/>
      <w:szCs w:val="22"/>
      <w:lang w:val="en-US" w:eastAsia="es-ES" w:bidi="hi-IN"/>
    </w:rPr>
  </w:style>
  <w:style w:type="paragraph" w:styleId="Prrafodelista">
    <w:name w:val="List Paragraph"/>
    <w:basedOn w:val="Normal"/>
    <w:uiPriority w:val="34"/>
    <w:qFormat/>
    <w:rsid w:val="004F6834"/>
    <w:pPr>
      <w:ind w:left="720"/>
      <w:contextualSpacing/>
    </w:pPr>
    <w:rPr>
      <w:rFonts w:ascii="Times New Roman" w:eastAsiaTheme="minorHAnsi" w:hAnsi="Times New Roman" w:cs="Times New Roman"/>
      <w:sz w:val="24"/>
      <w:szCs w:val="24"/>
      <w:lang w:val="es-CO" w:eastAsia="es-CO" w:bidi="ar-SA"/>
    </w:rPr>
  </w:style>
  <w:style w:type="paragraph" w:styleId="Textodeglobo">
    <w:name w:val="Balloon Text"/>
    <w:basedOn w:val="Normal"/>
    <w:link w:val="TextodegloboCar"/>
    <w:semiHidden/>
    <w:unhideWhenUsed/>
    <w:rsid w:val="00D361F1"/>
    <w:rPr>
      <w:rFonts w:ascii="Segoe UI" w:hAnsi="Segoe UI" w:cs="Mangal"/>
      <w:sz w:val="18"/>
      <w:szCs w:val="16"/>
    </w:rPr>
  </w:style>
  <w:style w:type="character" w:customStyle="1" w:styleId="TextodegloboCar">
    <w:name w:val="Texto de globo Car"/>
    <w:basedOn w:val="Fuentedeprrafopredeter"/>
    <w:link w:val="Textodeglobo"/>
    <w:semiHidden/>
    <w:rsid w:val="00D361F1"/>
    <w:rPr>
      <w:rFonts w:ascii="Segoe UI" w:hAnsi="Segoe UI" w:cs="Mangal"/>
      <w:sz w:val="18"/>
      <w:szCs w:val="16"/>
      <w:lang w:val="en-US" w:eastAsia="es-ES" w:bidi="hi-IN"/>
    </w:rPr>
  </w:style>
  <w:style w:type="character" w:styleId="Hipervnculo">
    <w:name w:val="Hyperlink"/>
    <w:basedOn w:val="Fuentedeprrafopredeter"/>
    <w:uiPriority w:val="99"/>
    <w:unhideWhenUsed/>
    <w:rsid w:val="00152D0F"/>
    <w:rPr>
      <w:color w:val="0000FF"/>
      <w:u w:val="single"/>
    </w:rPr>
  </w:style>
  <w:style w:type="table" w:styleId="Tablaconcuadrcula">
    <w:name w:val="Table Grid"/>
    <w:basedOn w:val="Tablanormal"/>
    <w:uiPriority w:val="39"/>
    <w:rsid w:val="003B4A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D1AFD"/>
    <w:rPr>
      <w:rFonts w:ascii="Garamond" w:hAnsi="Garamond" w:cs="Mangal"/>
      <w:sz w:val="22"/>
      <w:lang w:val="en-US" w:eastAsia="es-ES" w:bidi="hi-IN"/>
    </w:rPr>
  </w:style>
  <w:style w:type="paragraph" w:customStyle="1" w:styleId="Default">
    <w:name w:val="Default"/>
    <w:rsid w:val="004000A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5967">
      <w:bodyDiv w:val="1"/>
      <w:marLeft w:val="0"/>
      <w:marRight w:val="0"/>
      <w:marTop w:val="0"/>
      <w:marBottom w:val="0"/>
      <w:divBdr>
        <w:top w:val="none" w:sz="0" w:space="0" w:color="auto"/>
        <w:left w:val="none" w:sz="0" w:space="0" w:color="auto"/>
        <w:bottom w:val="none" w:sz="0" w:space="0" w:color="auto"/>
        <w:right w:val="none" w:sz="0" w:space="0" w:color="auto"/>
      </w:divBdr>
    </w:div>
    <w:div w:id="192809777">
      <w:bodyDiv w:val="1"/>
      <w:marLeft w:val="0"/>
      <w:marRight w:val="0"/>
      <w:marTop w:val="0"/>
      <w:marBottom w:val="0"/>
      <w:divBdr>
        <w:top w:val="none" w:sz="0" w:space="0" w:color="auto"/>
        <w:left w:val="none" w:sz="0" w:space="0" w:color="auto"/>
        <w:bottom w:val="none" w:sz="0" w:space="0" w:color="auto"/>
        <w:right w:val="none" w:sz="0" w:space="0" w:color="auto"/>
      </w:divBdr>
    </w:div>
    <w:div w:id="458762174">
      <w:bodyDiv w:val="1"/>
      <w:marLeft w:val="0"/>
      <w:marRight w:val="0"/>
      <w:marTop w:val="0"/>
      <w:marBottom w:val="0"/>
      <w:divBdr>
        <w:top w:val="none" w:sz="0" w:space="0" w:color="auto"/>
        <w:left w:val="none" w:sz="0" w:space="0" w:color="auto"/>
        <w:bottom w:val="none" w:sz="0" w:space="0" w:color="auto"/>
        <w:right w:val="none" w:sz="0" w:space="0" w:color="auto"/>
      </w:divBdr>
    </w:div>
    <w:div w:id="964655169">
      <w:bodyDiv w:val="1"/>
      <w:marLeft w:val="0"/>
      <w:marRight w:val="0"/>
      <w:marTop w:val="0"/>
      <w:marBottom w:val="0"/>
      <w:divBdr>
        <w:top w:val="none" w:sz="0" w:space="0" w:color="auto"/>
        <w:left w:val="none" w:sz="0" w:space="0" w:color="auto"/>
        <w:bottom w:val="none" w:sz="0" w:space="0" w:color="auto"/>
        <w:right w:val="none" w:sz="0" w:space="0" w:color="auto"/>
      </w:divBdr>
    </w:div>
    <w:div w:id="1033459668">
      <w:bodyDiv w:val="1"/>
      <w:marLeft w:val="0"/>
      <w:marRight w:val="0"/>
      <w:marTop w:val="0"/>
      <w:marBottom w:val="0"/>
      <w:divBdr>
        <w:top w:val="none" w:sz="0" w:space="0" w:color="auto"/>
        <w:left w:val="none" w:sz="0" w:space="0" w:color="auto"/>
        <w:bottom w:val="none" w:sz="0" w:space="0" w:color="auto"/>
        <w:right w:val="none" w:sz="0" w:space="0" w:color="auto"/>
      </w:divBdr>
    </w:div>
    <w:div w:id="1132288497">
      <w:bodyDiv w:val="1"/>
      <w:marLeft w:val="0"/>
      <w:marRight w:val="0"/>
      <w:marTop w:val="0"/>
      <w:marBottom w:val="0"/>
      <w:divBdr>
        <w:top w:val="none" w:sz="0" w:space="0" w:color="auto"/>
        <w:left w:val="none" w:sz="0" w:space="0" w:color="auto"/>
        <w:bottom w:val="none" w:sz="0" w:space="0" w:color="auto"/>
        <w:right w:val="none" w:sz="0" w:space="0" w:color="auto"/>
      </w:divBdr>
    </w:div>
    <w:div w:id="1371300896">
      <w:bodyDiv w:val="1"/>
      <w:marLeft w:val="0"/>
      <w:marRight w:val="0"/>
      <w:marTop w:val="0"/>
      <w:marBottom w:val="0"/>
      <w:divBdr>
        <w:top w:val="none" w:sz="0" w:space="0" w:color="auto"/>
        <w:left w:val="none" w:sz="0" w:space="0" w:color="auto"/>
        <w:bottom w:val="none" w:sz="0" w:space="0" w:color="auto"/>
        <w:right w:val="none" w:sz="0" w:space="0" w:color="auto"/>
      </w:divBdr>
    </w:div>
    <w:div w:id="1653486746">
      <w:bodyDiv w:val="1"/>
      <w:marLeft w:val="0"/>
      <w:marRight w:val="0"/>
      <w:marTop w:val="0"/>
      <w:marBottom w:val="0"/>
      <w:divBdr>
        <w:top w:val="none" w:sz="0" w:space="0" w:color="auto"/>
        <w:left w:val="none" w:sz="0" w:space="0" w:color="auto"/>
        <w:bottom w:val="none" w:sz="0" w:space="0" w:color="auto"/>
        <w:right w:val="none" w:sz="0" w:space="0" w:color="auto"/>
      </w:divBdr>
    </w:div>
    <w:div w:id="1798184125">
      <w:bodyDiv w:val="1"/>
      <w:marLeft w:val="0"/>
      <w:marRight w:val="0"/>
      <w:marTop w:val="0"/>
      <w:marBottom w:val="0"/>
      <w:divBdr>
        <w:top w:val="none" w:sz="0" w:space="0" w:color="auto"/>
        <w:left w:val="none" w:sz="0" w:space="0" w:color="auto"/>
        <w:bottom w:val="none" w:sz="0" w:space="0" w:color="auto"/>
        <w:right w:val="none" w:sz="0" w:space="0" w:color="auto"/>
      </w:divBdr>
    </w:div>
    <w:div w:id="1832594958">
      <w:bodyDiv w:val="1"/>
      <w:marLeft w:val="0"/>
      <w:marRight w:val="0"/>
      <w:marTop w:val="0"/>
      <w:marBottom w:val="0"/>
      <w:divBdr>
        <w:top w:val="none" w:sz="0" w:space="0" w:color="auto"/>
        <w:left w:val="none" w:sz="0" w:space="0" w:color="auto"/>
        <w:bottom w:val="none" w:sz="0" w:space="0" w:color="auto"/>
        <w:right w:val="none" w:sz="0" w:space="0" w:color="auto"/>
      </w:divBdr>
    </w:div>
    <w:div w:id="18893676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grupotransparencia@procuraduria.gov.c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grupotransparencia@procuraduria.gov.co"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molina\AppData\Roaming\Microsoft\Plantillas\Informe%20empresarial%20(tema%20Elegan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8EF8584FAD5E54D9C6B8E283355D3F1" ma:contentTypeVersion="0" ma:contentTypeDescription="Create a new document." ma:contentTypeScope="" ma:versionID="1ec879953dea35d294f1db6df13dae85">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9FF9A8-74AC-474A-96C4-300E241E24CE}"/>
</file>

<file path=customXml/itemProps2.xml><?xml version="1.0" encoding="utf-8"?>
<ds:datastoreItem xmlns:ds="http://schemas.openxmlformats.org/officeDocument/2006/customXml" ds:itemID="{06D6989C-7BFF-47D5-8188-EF702BCF21FC}"/>
</file>

<file path=customXml/itemProps3.xml><?xml version="1.0" encoding="utf-8"?>
<ds:datastoreItem xmlns:ds="http://schemas.openxmlformats.org/officeDocument/2006/customXml" ds:itemID="{5E0A9E62-BCCF-44D3-852A-6354760707E6}"/>
</file>

<file path=customXml/itemProps4.xml><?xml version="1.0" encoding="utf-8"?>
<ds:datastoreItem xmlns:ds="http://schemas.openxmlformats.org/officeDocument/2006/customXml" ds:itemID="{044691E3-241B-478E-B8B8-FBB42B7318AA}"/>
</file>

<file path=docProps/app.xml><?xml version="1.0" encoding="utf-8"?>
<Properties xmlns="http://schemas.openxmlformats.org/officeDocument/2006/extended-properties" xmlns:vt="http://schemas.openxmlformats.org/officeDocument/2006/docPropsVTypes">
  <Template>Informe empresarial (tema Elegante)</Template>
  <TotalTime>1360</TotalTime>
  <Pages>12</Pages>
  <Words>5098</Words>
  <Characters>27618</Characters>
  <Application>Microsoft Office Word</Application>
  <DocSecurity>0</DocSecurity>
  <Lines>230</Lines>
  <Paragraphs>65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[NOMBRE DE LA COMPAÑÍA]</vt:lpstr>
    </vt:vector>
  </TitlesOfParts>
  <Company>Hewlett-Packard Company</Company>
  <LinksUpToDate>false</LinksUpToDate>
  <CharactersWithSpaces>32651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Pablo Remolina Pulido</dc:creator>
  <cp:lastModifiedBy>Jorge Andres Capurro Sanchez</cp:lastModifiedBy>
  <cp:revision>26</cp:revision>
  <cp:lastPrinted>2015-01-06T14:03:00Z</cp:lastPrinted>
  <dcterms:created xsi:type="dcterms:W3CDTF">2016-07-08T16:26:00Z</dcterms:created>
  <dcterms:modified xsi:type="dcterms:W3CDTF">2016-07-13T15:01:00Z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TC010178173082</vt:lpwstr>
  </property>
  <property fmtid="{D5CDD505-2E9C-101B-9397-08002B2CF9AE}" pid="3" name="ContentTypeId">
    <vt:lpwstr>0x010100D8EF8584FAD5E54D9C6B8E283355D3F1</vt:lpwstr>
  </property>
</Properties>
</file>