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156890258"/>
    <w:bookmarkEnd w:id="0"/>
    <w:p w:rsidR="003A74C9" w:rsidRDefault="00DF18AE" w:rsidP="00E123DA">
      <w:pPr>
        <w:pStyle w:val="CompanyName"/>
        <w:framePr w:h="1920" w:wrap="notBeside" w:anchorLock="1"/>
      </w:pPr>
      <w:r w:rsidRPr="00ED2A08">
        <w:rPr>
          <w:sz w:val="20"/>
        </w:rPr>
        <w:object w:dxaOrig="1374" w:dyaOrig="1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9pt;height:120.7pt" o:ole="" fillcolor="window">
            <v:imagedata r:id="rId9" o:title=""/>
          </v:shape>
          <o:OLEObject Type="Embed" ProgID="Word.Picture.8" ShapeID="_x0000_i1025" DrawAspect="Content" ObjectID="_1481371648" r:id="rId10"/>
        </w:object>
      </w:r>
    </w:p>
    <w:p w:rsidR="003A74C9" w:rsidRDefault="003A74C9">
      <w:pPr>
        <w:pStyle w:val="TitleCover"/>
      </w:pPr>
    </w:p>
    <w:p w:rsidR="003A74C9" w:rsidRDefault="003A74C9">
      <w:pPr>
        <w:pStyle w:val="TitleCover"/>
      </w:pPr>
    </w:p>
    <w:p w:rsidR="00E123DA" w:rsidRDefault="00B55A81">
      <w:pPr>
        <w:pStyle w:val="TitleCover"/>
      </w:pPr>
      <w:r>
        <w:t>informe de gesti</w:t>
      </w:r>
      <w:r w:rsidR="00E123DA">
        <w:t>ón</w:t>
      </w:r>
    </w:p>
    <w:p w:rsidR="0075044C" w:rsidRDefault="00B55A81">
      <w:pPr>
        <w:pStyle w:val="TitleCover"/>
      </w:pPr>
      <w:r>
        <w:t>2014</w:t>
      </w:r>
    </w:p>
    <w:p w:rsidR="00D361F1" w:rsidRDefault="00B55A81" w:rsidP="00D361F1">
      <w:pPr>
        <w:pStyle w:val="SubtitleCover"/>
      </w:pPr>
      <w:r>
        <w:t xml:space="preserve">consolidando una cultura de </w:t>
      </w:r>
      <w:r w:rsidR="007962BC">
        <w:t xml:space="preserve">LA </w:t>
      </w:r>
      <w:r>
        <w:t>transparencia en el estado colombia</w:t>
      </w:r>
    </w:p>
    <w:p w:rsidR="00D361F1" w:rsidRPr="00D361F1" w:rsidRDefault="00D361F1" w:rsidP="00D361F1">
      <w:pPr>
        <w:rPr>
          <w:lang w:val="es-ES" w:bidi="es-ES"/>
        </w:rPr>
      </w:pPr>
    </w:p>
    <w:p w:rsidR="00D361F1" w:rsidRPr="00D361F1" w:rsidRDefault="00D361F1" w:rsidP="00D361F1">
      <w:pPr>
        <w:rPr>
          <w:lang w:val="es-ES" w:bidi="es-ES"/>
        </w:rPr>
      </w:pPr>
    </w:p>
    <w:p w:rsidR="00D361F1" w:rsidRPr="00D361F1" w:rsidRDefault="00D361F1" w:rsidP="00D361F1">
      <w:pPr>
        <w:rPr>
          <w:lang w:val="es-ES" w:bidi="es-ES"/>
        </w:rPr>
      </w:pPr>
    </w:p>
    <w:p w:rsidR="00D361F1" w:rsidRPr="00D361F1" w:rsidRDefault="00D361F1" w:rsidP="00D361F1">
      <w:pPr>
        <w:rPr>
          <w:lang w:val="es-ES" w:bidi="es-ES"/>
        </w:rPr>
      </w:pPr>
    </w:p>
    <w:p w:rsidR="00D361F1" w:rsidRPr="00D361F1" w:rsidRDefault="00D361F1" w:rsidP="00D361F1">
      <w:pPr>
        <w:rPr>
          <w:lang w:val="es-ES" w:bidi="es-ES"/>
        </w:rPr>
      </w:pPr>
    </w:p>
    <w:p w:rsidR="00D361F1" w:rsidRPr="00D361F1" w:rsidRDefault="00D361F1" w:rsidP="00D361F1">
      <w:pPr>
        <w:rPr>
          <w:lang w:val="es-ES" w:bidi="es-ES"/>
        </w:rPr>
      </w:pPr>
    </w:p>
    <w:p w:rsidR="00D361F1" w:rsidRPr="00D361F1" w:rsidRDefault="00D361F1" w:rsidP="00D361F1">
      <w:pPr>
        <w:rPr>
          <w:lang w:val="es-ES" w:bidi="es-ES"/>
        </w:rPr>
      </w:pPr>
    </w:p>
    <w:p w:rsidR="00D361F1" w:rsidRPr="00D361F1" w:rsidRDefault="00D361F1" w:rsidP="00D361F1">
      <w:pPr>
        <w:rPr>
          <w:lang w:val="es-ES" w:bidi="es-ES"/>
        </w:rPr>
      </w:pPr>
    </w:p>
    <w:p w:rsidR="00D361F1" w:rsidRPr="00D361F1" w:rsidRDefault="00D361F1" w:rsidP="00D361F1">
      <w:pPr>
        <w:rPr>
          <w:lang w:val="es-ES" w:bidi="es-ES"/>
        </w:rPr>
      </w:pPr>
    </w:p>
    <w:p w:rsidR="00D361F1" w:rsidRPr="00D361F1" w:rsidRDefault="00D361F1" w:rsidP="00D361F1">
      <w:pPr>
        <w:rPr>
          <w:lang w:val="es-ES" w:bidi="es-ES"/>
        </w:rPr>
      </w:pPr>
    </w:p>
    <w:p w:rsidR="00D361F1" w:rsidRPr="00D361F1" w:rsidRDefault="00D361F1" w:rsidP="00D361F1">
      <w:pPr>
        <w:rPr>
          <w:lang w:val="es-ES" w:bidi="es-ES"/>
        </w:rPr>
      </w:pPr>
    </w:p>
    <w:p w:rsidR="00D361F1" w:rsidRPr="00D361F1" w:rsidRDefault="00D361F1" w:rsidP="00D361F1">
      <w:pPr>
        <w:rPr>
          <w:lang w:val="es-ES" w:bidi="es-ES"/>
        </w:rPr>
      </w:pPr>
    </w:p>
    <w:p w:rsidR="00D361F1" w:rsidRPr="00D361F1" w:rsidRDefault="00D361F1" w:rsidP="00D361F1">
      <w:pPr>
        <w:rPr>
          <w:lang w:val="es-ES" w:bidi="es-ES"/>
        </w:rPr>
      </w:pPr>
    </w:p>
    <w:p w:rsidR="00D361F1" w:rsidRPr="00D361F1" w:rsidRDefault="00D361F1" w:rsidP="00D361F1">
      <w:pPr>
        <w:rPr>
          <w:lang w:val="es-ES" w:bidi="es-ES"/>
        </w:rPr>
      </w:pPr>
    </w:p>
    <w:p w:rsidR="00D361F1" w:rsidRPr="00D361F1" w:rsidRDefault="00D361F1" w:rsidP="00D361F1">
      <w:pPr>
        <w:rPr>
          <w:lang w:val="es-ES" w:bidi="es-ES"/>
        </w:rPr>
      </w:pPr>
    </w:p>
    <w:p w:rsidR="00D361F1" w:rsidRPr="00D361F1" w:rsidRDefault="00DF18AE" w:rsidP="00D361F1">
      <w:pPr>
        <w:pStyle w:val="Puesto"/>
        <w:jc w:val="left"/>
        <w:rPr>
          <w:lang w:val="es-ES"/>
        </w:rPr>
      </w:pPr>
      <w:r>
        <w:rPr>
          <w:noProof/>
          <w:lang w:val="es-CO" w:eastAsia="es-CO" w:bidi="ar-SA"/>
        </w:rPr>
        <mc:AlternateContent>
          <mc:Choice Requires="wps">
            <w:drawing>
              <wp:anchor distT="0" distB="0" distL="114300" distR="114300" simplePos="0" relativeHeight="251657728" behindDoc="0" locked="0" layoutInCell="1" allowOverlap="1" wp14:anchorId="208EB1B8" wp14:editId="1D44ACDF">
                <wp:simplePos x="0" y="0"/>
                <wp:positionH relativeFrom="margin">
                  <wp:align>center</wp:align>
                </wp:positionH>
                <wp:positionV relativeFrom="page">
                  <wp:posOffset>9966654</wp:posOffset>
                </wp:positionV>
                <wp:extent cx="6602730" cy="1287145"/>
                <wp:effectExtent l="0" t="0" r="762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1287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6FF5" w:rsidRPr="007B6A22" w:rsidRDefault="00F46FF5" w:rsidP="00E123DA">
                            <w:pPr>
                              <w:pStyle w:val="Cita"/>
                              <w:rPr>
                                <w:sz w:val="24"/>
                                <w:szCs w:val="24"/>
                                <w:lang w:val="es-CO"/>
                              </w:rPr>
                            </w:pPr>
                            <w:r w:rsidRPr="007B6A22">
                              <w:rPr>
                                <w:sz w:val="24"/>
                                <w:szCs w:val="24"/>
                                <w:lang w:val="es-CO"/>
                              </w:rPr>
                              <w:t xml:space="preserve">Grupo de Transparencia y del Derecho de Acceso a la Información Pública </w:t>
                            </w:r>
                          </w:p>
                          <w:p w:rsidR="00F46FF5" w:rsidRPr="007962BC" w:rsidRDefault="00F46FF5" w:rsidP="00E123DA">
                            <w:pPr>
                              <w:pStyle w:val="Cita"/>
                              <w:rPr>
                                <w:sz w:val="24"/>
                                <w:szCs w:val="24"/>
                                <w:lang w:val="es-CO"/>
                              </w:rPr>
                            </w:pPr>
                            <w:proofErr w:type="spellStart"/>
                            <w:r w:rsidRPr="007962BC">
                              <w:rPr>
                                <w:sz w:val="24"/>
                                <w:szCs w:val="24"/>
                                <w:lang w:val="es-CO"/>
                              </w:rPr>
                              <w:t>Viceprocuraduría</w:t>
                            </w:r>
                            <w:proofErr w:type="spellEnd"/>
                            <w:r w:rsidRPr="007962BC">
                              <w:rPr>
                                <w:sz w:val="24"/>
                                <w:szCs w:val="24"/>
                                <w:lang w:val="es-CO"/>
                              </w:rPr>
                              <w:t xml:space="preserve"> General de la Nación  </w:t>
                            </w:r>
                          </w:p>
                          <w:p w:rsidR="00F46FF5" w:rsidRPr="007962BC" w:rsidRDefault="00F46FF5" w:rsidP="00E123DA">
                            <w:pPr>
                              <w:pStyle w:val="Cita"/>
                              <w:rPr>
                                <w:sz w:val="24"/>
                                <w:szCs w:val="24"/>
                                <w:lang w:val="es-CO"/>
                              </w:rPr>
                            </w:pPr>
                            <w:r w:rsidRPr="007962BC">
                              <w:rPr>
                                <w:sz w:val="24"/>
                                <w:szCs w:val="24"/>
                                <w:lang w:val="es-CO"/>
                              </w:rPr>
                              <w:t>PBX: 5878750 Ext.: 12025- 12532 Fax 12514 Carrera 5 No. 15-80 Piso 20</w:t>
                            </w:r>
                          </w:p>
                          <w:p w:rsidR="00F46FF5" w:rsidRPr="007B6A22" w:rsidRDefault="00F46FF5" w:rsidP="00E123DA">
                            <w:pPr>
                              <w:pStyle w:val="Cita"/>
                              <w:rPr>
                                <w:sz w:val="24"/>
                                <w:szCs w:val="24"/>
                              </w:rPr>
                            </w:pPr>
                            <w:r w:rsidRPr="007B6A22">
                              <w:rPr>
                                <w:sz w:val="24"/>
                                <w:szCs w:val="24"/>
                              </w:rPr>
                              <w:t>grupotransparencia@procuraduria.gov.co</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8EB1B8" id="_x0000_t202" coordsize="21600,21600" o:spt="202" path="m,l,21600r21600,l21600,xe">
                <v:stroke joinstyle="miter"/>
                <v:path gradientshapeok="t" o:connecttype="rect"/>
              </v:shapetype>
              <v:shape id="Text Box 4" o:spid="_x0000_s1026" type="#_x0000_t202" style="position:absolute;margin-left:0;margin-top:784.8pt;width:519.9pt;height:101.3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" stroked="f">
                <v:textbox style="mso-fit-shape-to-text:t">
                  <w:txbxContent>
                    <w:p w:rsidR="00F46FF5" w:rsidRPr="007B6A22" w:rsidRDefault="00F46FF5" w:rsidP="00E123DA">
                      <w:pPr>
                        <w:pStyle w:val="Cita"/>
                        <w:rPr>
                          <w:sz w:val="24"/>
                          <w:szCs w:val="24"/>
                          <w:lang w:val="es-CO"/>
                        </w:rPr>
                      </w:pPr>
                      <w:r w:rsidRPr="007B6A22">
                        <w:rPr>
                          <w:sz w:val="24"/>
                          <w:szCs w:val="24"/>
                          <w:lang w:val="es-CO"/>
                        </w:rPr>
                        <w:t xml:space="preserve">Grupo de Transparencia y del Derecho de Acceso a la Información Pública </w:t>
                      </w:r>
                    </w:p>
                    <w:p w:rsidR="00F46FF5" w:rsidRPr="007B6A22" w:rsidRDefault="00F46FF5" w:rsidP="00E123DA">
                      <w:pPr>
                        <w:pStyle w:val="Cita"/>
                        <w:rPr>
                          <w:sz w:val="24"/>
                          <w:szCs w:val="24"/>
                        </w:rPr>
                      </w:pPr>
                      <w:r w:rsidRPr="007B6A22">
                        <w:rPr>
                          <w:sz w:val="24"/>
                          <w:szCs w:val="24"/>
                        </w:rPr>
                        <w:t xml:space="preserve">Viceprocuraduría General de la Nación  </w:t>
                      </w:r>
                    </w:p>
                    <w:p w:rsidR="00F46FF5" w:rsidRPr="007B6A22" w:rsidRDefault="00F46FF5" w:rsidP="00E123DA">
                      <w:pPr>
                        <w:pStyle w:val="Cita"/>
                        <w:rPr>
                          <w:sz w:val="24"/>
                          <w:szCs w:val="24"/>
                        </w:rPr>
                      </w:pPr>
                      <w:r w:rsidRPr="007B6A22">
                        <w:rPr>
                          <w:sz w:val="24"/>
                          <w:szCs w:val="24"/>
                        </w:rPr>
                        <w:t>PBX: 5878750 Ext.: 12025- 12532 Fax 12514 Carrera 5 No. 15-80 Piso 20</w:t>
                      </w:r>
                    </w:p>
                    <w:p w:rsidR="00F46FF5" w:rsidRPr="007B6A22" w:rsidRDefault="00F46FF5" w:rsidP="00E123DA">
                      <w:pPr>
                        <w:pStyle w:val="Cita"/>
                        <w:rPr>
                          <w:sz w:val="24"/>
                          <w:szCs w:val="24"/>
                        </w:rPr>
                      </w:pPr>
                      <w:r w:rsidRPr="007B6A22">
                        <w:rPr>
                          <w:sz w:val="24"/>
                          <w:szCs w:val="24"/>
                        </w:rPr>
                        <w:t>grupotransparencia@procuraduria.gov.co</w:t>
                      </w:r>
                    </w:p>
                  </w:txbxContent>
                </v:textbox>
                <w10:wrap anchorx="margin" anchory="page"/>
              </v:shape>
            </w:pict>
          </mc:Fallback>
        </mc:AlternateContent>
      </w:r>
      <w:r w:rsidR="0075044C">
        <w:rPr>
          <w:lang w:val="es-ES"/>
        </w:rPr>
        <w:br w:type="page"/>
      </w:r>
    </w:p>
    <w:p w:rsidR="00E123DA" w:rsidRDefault="00E123DA" w:rsidP="00DF18AE">
      <w:pPr>
        <w:spacing w:before="120" w:after="120" w:line="240" w:lineRule="atLeast"/>
        <w:rPr>
          <w:lang w:val="es-ES"/>
        </w:rPr>
      </w:pPr>
    </w:p>
    <w:p w:rsidR="00DF18AE" w:rsidRPr="007B6A22" w:rsidRDefault="00011AC8" w:rsidP="00DF18AE">
      <w:pPr>
        <w:spacing w:before="120" w:after="120" w:line="240" w:lineRule="atLeast"/>
        <w:rPr>
          <w:b/>
          <w:sz w:val="28"/>
          <w:szCs w:val="28"/>
          <w:lang w:val="es-ES"/>
        </w:rPr>
      </w:pPr>
      <w:r w:rsidRPr="007B6A22">
        <w:rPr>
          <w:b/>
          <w:sz w:val="28"/>
          <w:szCs w:val="28"/>
          <w:lang w:val="es-ES"/>
        </w:rPr>
        <w:t xml:space="preserve">Grupo de Transparencia y del </w:t>
      </w:r>
    </w:p>
    <w:p w:rsidR="00011AC8" w:rsidRPr="007B6A22" w:rsidRDefault="00011AC8" w:rsidP="00DF18AE">
      <w:pPr>
        <w:spacing w:before="120" w:after="120" w:line="240" w:lineRule="atLeast"/>
        <w:rPr>
          <w:b/>
          <w:sz w:val="28"/>
          <w:szCs w:val="28"/>
          <w:lang w:val="es-ES"/>
        </w:rPr>
      </w:pPr>
      <w:r w:rsidRPr="007B6A22">
        <w:rPr>
          <w:b/>
          <w:sz w:val="28"/>
          <w:szCs w:val="28"/>
          <w:lang w:val="es-ES"/>
        </w:rPr>
        <w:t>Derecho de Acceso a la Información Pública</w:t>
      </w:r>
    </w:p>
    <w:p w:rsidR="00DF18AE" w:rsidRDefault="00DF18AE" w:rsidP="00DF18AE">
      <w:pPr>
        <w:spacing w:before="120" w:after="120" w:line="240" w:lineRule="atLeast"/>
        <w:rPr>
          <w:lang w:val="es-ES"/>
        </w:rPr>
      </w:pPr>
    </w:p>
    <w:p w:rsidR="00DF18AE" w:rsidRPr="007B6A22" w:rsidRDefault="00DF18AE" w:rsidP="00DF18AE">
      <w:pPr>
        <w:spacing w:before="120" w:after="120" w:line="240" w:lineRule="atLeast"/>
        <w:rPr>
          <w:sz w:val="24"/>
          <w:szCs w:val="24"/>
          <w:lang w:val="es-ES"/>
        </w:rPr>
      </w:pPr>
    </w:p>
    <w:p w:rsidR="00DF18AE" w:rsidRPr="007B6A22" w:rsidRDefault="00011AC8" w:rsidP="00DF18AE">
      <w:pPr>
        <w:spacing w:before="120" w:after="120" w:line="240" w:lineRule="atLeast"/>
        <w:rPr>
          <w:sz w:val="24"/>
          <w:szCs w:val="24"/>
          <w:lang w:val="es-ES"/>
        </w:rPr>
      </w:pPr>
      <w:r w:rsidRPr="007B6A22">
        <w:rPr>
          <w:sz w:val="24"/>
          <w:szCs w:val="24"/>
          <w:lang w:val="es-ES"/>
        </w:rPr>
        <w:t xml:space="preserve">Martha Isabel Castañeda Curvelo   </w:t>
      </w:r>
      <w:r w:rsidR="00DF18AE" w:rsidRPr="007B6A22">
        <w:rPr>
          <w:sz w:val="24"/>
          <w:szCs w:val="24"/>
          <w:lang w:val="es-ES"/>
        </w:rPr>
        <w:t xml:space="preserve">      </w:t>
      </w:r>
    </w:p>
    <w:p w:rsidR="00DF18AE" w:rsidRPr="007B6A22" w:rsidRDefault="00DF18AE" w:rsidP="00DF18AE">
      <w:pPr>
        <w:spacing w:before="120" w:after="120" w:line="240" w:lineRule="atLeast"/>
        <w:rPr>
          <w:sz w:val="24"/>
          <w:szCs w:val="24"/>
          <w:lang w:val="es-ES"/>
        </w:rPr>
      </w:pPr>
      <w:r w:rsidRPr="007B6A22">
        <w:rPr>
          <w:sz w:val="24"/>
          <w:szCs w:val="24"/>
          <w:lang w:val="es-ES"/>
        </w:rPr>
        <w:t xml:space="preserve">Viceprocuradora General de la Nación              </w:t>
      </w:r>
    </w:p>
    <w:p w:rsidR="00011AC8" w:rsidRPr="007B6A22" w:rsidRDefault="00011AC8" w:rsidP="00DF18AE">
      <w:pPr>
        <w:spacing w:before="120" w:after="120" w:line="240" w:lineRule="atLeast"/>
        <w:rPr>
          <w:sz w:val="24"/>
          <w:szCs w:val="24"/>
          <w:lang w:val="es-ES"/>
        </w:rPr>
      </w:pPr>
      <w:r w:rsidRPr="007B6A22">
        <w:rPr>
          <w:sz w:val="24"/>
          <w:szCs w:val="24"/>
          <w:lang w:val="es-ES"/>
        </w:rPr>
        <w:t>Coordinadora</w:t>
      </w:r>
    </w:p>
    <w:p w:rsidR="00DF18AE" w:rsidRPr="007B6A22" w:rsidRDefault="00DF18AE" w:rsidP="00DF18AE">
      <w:pPr>
        <w:spacing w:before="120" w:after="120" w:line="240" w:lineRule="atLeast"/>
        <w:rPr>
          <w:sz w:val="24"/>
          <w:szCs w:val="24"/>
          <w:lang w:val="es-ES"/>
        </w:rPr>
      </w:pPr>
    </w:p>
    <w:p w:rsidR="009D7821" w:rsidRDefault="009D7821" w:rsidP="00DF18AE">
      <w:pPr>
        <w:spacing w:before="120" w:after="120" w:line="240" w:lineRule="atLeast"/>
        <w:rPr>
          <w:sz w:val="24"/>
          <w:szCs w:val="24"/>
          <w:lang w:val="es-ES"/>
        </w:rPr>
      </w:pPr>
      <w:r w:rsidRPr="007B6A22">
        <w:rPr>
          <w:sz w:val="24"/>
          <w:szCs w:val="24"/>
          <w:lang w:val="es-ES"/>
        </w:rPr>
        <w:t>Juan Pablo Remolina Pulido</w:t>
      </w:r>
    </w:p>
    <w:p w:rsidR="00DF18AE" w:rsidRPr="007B6A22" w:rsidRDefault="00DF18AE" w:rsidP="00DF18AE">
      <w:pPr>
        <w:spacing w:before="120" w:after="120" w:line="240" w:lineRule="atLeast"/>
        <w:rPr>
          <w:sz w:val="24"/>
          <w:szCs w:val="24"/>
          <w:lang w:val="es-ES"/>
        </w:rPr>
      </w:pPr>
      <w:r w:rsidRPr="007B6A22">
        <w:rPr>
          <w:sz w:val="24"/>
          <w:szCs w:val="24"/>
          <w:lang w:val="es-ES"/>
        </w:rPr>
        <w:t>Andrés Prada Trujillo</w:t>
      </w:r>
    </w:p>
    <w:p w:rsidR="00DF18AE" w:rsidRPr="007B6A22" w:rsidRDefault="00DF18AE" w:rsidP="00DF18AE">
      <w:pPr>
        <w:spacing w:before="120" w:after="120" w:line="240" w:lineRule="atLeast"/>
        <w:rPr>
          <w:sz w:val="24"/>
          <w:szCs w:val="24"/>
          <w:lang w:val="es-ES"/>
        </w:rPr>
      </w:pPr>
      <w:r w:rsidRPr="007B6A22">
        <w:rPr>
          <w:sz w:val="24"/>
          <w:szCs w:val="24"/>
          <w:lang w:val="es-ES"/>
        </w:rPr>
        <w:t>Erick Andrés Perez Alvarez</w:t>
      </w:r>
    </w:p>
    <w:p w:rsidR="00DF18AE" w:rsidRPr="007B6A22" w:rsidRDefault="00DF18AE" w:rsidP="00DF18AE">
      <w:pPr>
        <w:spacing w:before="120" w:after="120" w:line="240" w:lineRule="atLeast"/>
        <w:rPr>
          <w:sz w:val="24"/>
          <w:szCs w:val="24"/>
          <w:lang w:val="es-ES"/>
        </w:rPr>
      </w:pPr>
      <w:r w:rsidRPr="007B6A22">
        <w:rPr>
          <w:sz w:val="24"/>
          <w:szCs w:val="24"/>
          <w:lang w:val="es-ES"/>
        </w:rPr>
        <w:t xml:space="preserve">Gina Marcela Perez </w:t>
      </w:r>
      <w:proofErr w:type="spellStart"/>
      <w:r w:rsidRPr="007B6A22">
        <w:rPr>
          <w:sz w:val="24"/>
          <w:szCs w:val="24"/>
          <w:lang w:val="es-ES"/>
        </w:rPr>
        <w:t>Ibañez</w:t>
      </w:r>
      <w:proofErr w:type="spellEnd"/>
    </w:p>
    <w:p w:rsidR="00DF18AE" w:rsidRPr="007B6A22" w:rsidRDefault="00DF18AE" w:rsidP="00DF18AE">
      <w:pPr>
        <w:spacing w:before="120" w:after="120" w:line="240" w:lineRule="atLeast"/>
        <w:rPr>
          <w:sz w:val="24"/>
          <w:szCs w:val="24"/>
          <w:lang w:val="es-ES"/>
        </w:rPr>
      </w:pPr>
      <w:r w:rsidRPr="007B6A22">
        <w:rPr>
          <w:sz w:val="24"/>
          <w:szCs w:val="24"/>
          <w:lang w:val="es-ES"/>
        </w:rPr>
        <w:t>Jorge Andrés Capurro Sánchez</w:t>
      </w:r>
    </w:p>
    <w:p w:rsidR="00DF18AE" w:rsidRPr="007B6A22" w:rsidRDefault="00DF18AE" w:rsidP="00DF18AE">
      <w:pPr>
        <w:spacing w:before="120" w:after="120" w:line="240" w:lineRule="atLeast"/>
        <w:rPr>
          <w:sz w:val="24"/>
          <w:szCs w:val="24"/>
          <w:lang w:val="es-ES"/>
        </w:rPr>
      </w:pPr>
      <w:r w:rsidRPr="007B6A22">
        <w:rPr>
          <w:sz w:val="24"/>
          <w:szCs w:val="24"/>
          <w:lang w:val="es-ES"/>
        </w:rPr>
        <w:t>Jorge Hernando Valencia Rodríguez</w:t>
      </w:r>
    </w:p>
    <w:p w:rsidR="00DF18AE" w:rsidRPr="007B6A22" w:rsidRDefault="00DF18AE" w:rsidP="00DF18AE">
      <w:pPr>
        <w:spacing w:before="120" w:after="120" w:line="240" w:lineRule="atLeast"/>
        <w:rPr>
          <w:sz w:val="24"/>
          <w:szCs w:val="24"/>
          <w:lang w:val="es-ES"/>
        </w:rPr>
      </w:pPr>
      <w:r w:rsidRPr="007B6A22">
        <w:rPr>
          <w:sz w:val="24"/>
          <w:szCs w:val="24"/>
          <w:lang w:val="es-ES"/>
        </w:rPr>
        <w:t>Jos</w:t>
      </w:r>
      <w:r w:rsidR="00667E0D">
        <w:rPr>
          <w:sz w:val="24"/>
          <w:szCs w:val="24"/>
          <w:lang w:val="es-ES"/>
        </w:rPr>
        <w:t>é</w:t>
      </w:r>
      <w:r w:rsidRPr="007B6A22">
        <w:rPr>
          <w:sz w:val="24"/>
          <w:szCs w:val="24"/>
          <w:lang w:val="es-ES"/>
        </w:rPr>
        <w:t xml:space="preserve"> David Cavanzo </w:t>
      </w:r>
      <w:proofErr w:type="spellStart"/>
      <w:r w:rsidRPr="007B6A22">
        <w:rPr>
          <w:sz w:val="24"/>
          <w:szCs w:val="24"/>
          <w:lang w:val="es-ES"/>
        </w:rPr>
        <w:t>Ortíz</w:t>
      </w:r>
      <w:proofErr w:type="spellEnd"/>
    </w:p>
    <w:p w:rsidR="00DF18AE" w:rsidRPr="007B6A22" w:rsidRDefault="00DF18AE" w:rsidP="00DF18AE">
      <w:pPr>
        <w:spacing w:before="120" w:after="120" w:line="240" w:lineRule="atLeast"/>
        <w:rPr>
          <w:sz w:val="24"/>
          <w:szCs w:val="24"/>
          <w:lang w:val="es-ES"/>
        </w:rPr>
      </w:pPr>
      <w:r w:rsidRPr="007B6A22">
        <w:rPr>
          <w:sz w:val="24"/>
          <w:szCs w:val="24"/>
          <w:lang w:val="es-ES"/>
        </w:rPr>
        <w:t>Jos</w:t>
      </w:r>
      <w:r w:rsidR="00667E0D">
        <w:rPr>
          <w:sz w:val="24"/>
          <w:szCs w:val="24"/>
          <w:lang w:val="es-ES"/>
        </w:rPr>
        <w:t>é</w:t>
      </w:r>
      <w:r w:rsidRPr="007B6A22">
        <w:rPr>
          <w:sz w:val="24"/>
          <w:szCs w:val="24"/>
          <w:lang w:val="es-ES"/>
        </w:rPr>
        <w:t xml:space="preserve"> Ignacio Morales Huetio</w:t>
      </w:r>
    </w:p>
    <w:p w:rsidR="00DF18AE" w:rsidRPr="007B6A22" w:rsidRDefault="00DF18AE" w:rsidP="00DF18AE">
      <w:pPr>
        <w:spacing w:before="120" w:after="120" w:line="240" w:lineRule="atLeast"/>
        <w:rPr>
          <w:sz w:val="24"/>
          <w:szCs w:val="24"/>
          <w:lang w:val="es-ES"/>
        </w:rPr>
      </w:pPr>
      <w:r w:rsidRPr="007B6A22">
        <w:rPr>
          <w:sz w:val="24"/>
          <w:szCs w:val="24"/>
          <w:lang w:val="es-ES"/>
        </w:rPr>
        <w:t>Laura Tatiana Obando Olaya</w:t>
      </w:r>
    </w:p>
    <w:p w:rsidR="00DF18AE" w:rsidRPr="007B6A22" w:rsidRDefault="00DF18AE" w:rsidP="00DF18AE">
      <w:pPr>
        <w:spacing w:before="120" w:after="120" w:line="240" w:lineRule="atLeast"/>
        <w:rPr>
          <w:sz w:val="24"/>
          <w:szCs w:val="24"/>
          <w:lang w:val="es-ES"/>
        </w:rPr>
      </w:pPr>
      <w:r w:rsidRPr="007B6A22">
        <w:rPr>
          <w:sz w:val="24"/>
          <w:szCs w:val="24"/>
          <w:lang w:val="es-ES"/>
        </w:rPr>
        <w:t>Marco Augusto Parrado Gamba</w:t>
      </w:r>
    </w:p>
    <w:p w:rsidR="00DF18AE" w:rsidRPr="007B6A22" w:rsidRDefault="00DF18AE" w:rsidP="00DF18AE">
      <w:pPr>
        <w:spacing w:before="120" w:after="120" w:line="240" w:lineRule="atLeast"/>
        <w:rPr>
          <w:sz w:val="24"/>
          <w:szCs w:val="24"/>
          <w:lang w:val="es-ES"/>
        </w:rPr>
      </w:pPr>
      <w:r w:rsidRPr="007B6A22">
        <w:rPr>
          <w:sz w:val="24"/>
          <w:szCs w:val="24"/>
          <w:lang w:val="es-ES"/>
        </w:rPr>
        <w:t>Maria Carmenza Valverde Pineda</w:t>
      </w:r>
    </w:p>
    <w:p w:rsidR="00DF18AE" w:rsidRPr="007B6A22" w:rsidRDefault="00DF18AE" w:rsidP="00DF18AE">
      <w:pPr>
        <w:spacing w:before="120" w:after="120" w:line="240" w:lineRule="atLeast"/>
        <w:rPr>
          <w:sz w:val="24"/>
          <w:szCs w:val="24"/>
          <w:lang w:val="es-ES"/>
        </w:rPr>
      </w:pPr>
      <w:r w:rsidRPr="007B6A22">
        <w:rPr>
          <w:sz w:val="24"/>
          <w:szCs w:val="24"/>
          <w:lang w:val="es-ES"/>
        </w:rPr>
        <w:t xml:space="preserve">Sonia Inés Enciso </w:t>
      </w:r>
      <w:proofErr w:type="spellStart"/>
      <w:r w:rsidRPr="007B6A22">
        <w:rPr>
          <w:sz w:val="24"/>
          <w:szCs w:val="24"/>
          <w:lang w:val="es-ES"/>
        </w:rPr>
        <w:t>Ortíz</w:t>
      </w:r>
      <w:proofErr w:type="spellEnd"/>
      <w:r w:rsidRPr="007B6A22">
        <w:rPr>
          <w:sz w:val="24"/>
          <w:szCs w:val="24"/>
          <w:lang w:val="es-ES"/>
        </w:rPr>
        <w:t xml:space="preserve">      </w:t>
      </w:r>
    </w:p>
    <w:p w:rsidR="00DF18AE" w:rsidRDefault="00DF18AE" w:rsidP="00DF18AE">
      <w:pPr>
        <w:spacing w:before="120" w:after="120" w:line="240" w:lineRule="atLeast"/>
        <w:rPr>
          <w:lang w:val="es-ES"/>
        </w:rPr>
      </w:pPr>
    </w:p>
    <w:p w:rsidR="00DF18AE" w:rsidRDefault="00DF18AE" w:rsidP="00DF18AE">
      <w:pPr>
        <w:spacing w:before="120" w:after="120" w:line="240" w:lineRule="atLeast"/>
        <w:rPr>
          <w:lang w:val="es-ES"/>
        </w:rPr>
      </w:pPr>
    </w:p>
    <w:p w:rsidR="00DF18AE" w:rsidRPr="00245DD3" w:rsidRDefault="00DF18AE" w:rsidP="00DF18AE">
      <w:pPr>
        <w:spacing w:before="120" w:after="120" w:line="240" w:lineRule="atLeast"/>
        <w:rPr>
          <w:sz w:val="24"/>
          <w:szCs w:val="24"/>
          <w:lang w:val="es-ES"/>
        </w:rPr>
      </w:pPr>
      <w:r w:rsidRPr="00245DD3">
        <w:rPr>
          <w:sz w:val="24"/>
          <w:szCs w:val="24"/>
          <w:lang w:val="es-ES"/>
        </w:rPr>
        <w:t xml:space="preserve">Diciembre, 2014                                                                                                  </w:t>
      </w:r>
    </w:p>
    <w:p w:rsidR="00E123DA" w:rsidRDefault="00E123DA" w:rsidP="00DF18AE">
      <w:pPr>
        <w:pStyle w:val="Puesto"/>
        <w:jc w:val="left"/>
        <w:rPr>
          <w:lang w:val="es-ES"/>
        </w:rPr>
      </w:pPr>
    </w:p>
    <w:p w:rsidR="00E123DA" w:rsidRDefault="00E123DA">
      <w:pPr>
        <w:pStyle w:val="Puesto"/>
        <w:rPr>
          <w:lang w:val="es-ES"/>
        </w:rPr>
      </w:pPr>
    </w:p>
    <w:p w:rsidR="00E123DA" w:rsidRDefault="00E123DA" w:rsidP="009C56FF">
      <w:pPr>
        <w:pStyle w:val="Puesto"/>
        <w:jc w:val="left"/>
        <w:rPr>
          <w:lang w:val="es-ES"/>
        </w:rPr>
      </w:pPr>
    </w:p>
    <w:p w:rsidR="009C56FF" w:rsidRDefault="009C56FF" w:rsidP="009C56FF">
      <w:pPr>
        <w:pStyle w:val="Subttulo"/>
        <w:rPr>
          <w:lang w:val="es-ES"/>
        </w:rPr>
      </w:pPr>
    </w:p>
    <w:p w:rsidR="009C56FF" w:rsidRDefault="009C56FF" w:rsidP="009C56FF">
      <w:pPr>
        <w:pStyle w:val="Textoindependiente"/>
        <w:rPr>
          <w:lang w:val="es-ES"/>
        </w:rPr>
      </w:pPr>
    </w:p>
    <w:p w:rsidR="009C56FF" w:rsidRDefault="009C56FF" w:rsidP="009C56FF">
      <w:pPr>
        <w:pStyle w:val="Textoindependiente"/>
        <w:rPr>
          <w:lang w:val="es-ES"/>
        </w:rPr>
      </w:pPr>
    </w:p>
    <w:p w:rsidR="00D361F1" w:rsidRDefault="00D361F1" w:rsidP="009C56FF">
      <w:pPr>
        <w:pStyle w:val="Textoindependiente"/>
        <w:rPr>
          <w:lang w:val="es-ES"/>
        </w:rPr>
      </w:pPr>
    </w:p>
    <w:p w:rsidR="00D361F1" w:rsidRDefault="00D361F1" w:rsidP="00D361F1">
      <w:pPr>
        <w:pStyle w:val="Textoindependiente"/>
        <w:ind w:firstLine="0"/>
        <w:rPr>
          <w:lang w:val="es-ES"/>
        </w:rPr>
      </w:pPr>
    </w:p>
    <w:p w:rsidR="00D361F1" w:rsidRDefault="00D361F1" w:rsidP="00D361F1">
      <w:pPr>
        <w:pStyle w:val="Textoindependiente"/>
        <w:ind w:firstLine="0"/>
        <w:rPr>
          <w:lang w:val="es-ES"/>
        </w:rPr>
      </w:pPr>
    </w:p>
    <w:p w:rsidR="009C56FF" w:rsidRDefault="009C56FF" w:rsidP="009C56FF">
      <w:pPr>
        <w:pStyle w:val="Textoindependiente"/>
        <w:rPr>
          <w:lang w:val="es-ES"/>
        </w:rPr>
      </w:pPr>
    </w:p>
    <w:p w:rsidR="0075044C" w:rsidRPr="009C56FF" w:rsidRDefault="009C56FF">
      <w:pPr>
        <w:pStyle w:val="Ttulo1"/>
        <w:rPr>
          <w:sz w:val="24"/>
          <w:szCs w:val="24"/>
          <w:lang w:val="es-ES"/>
        </w:rPr>
      </w:pPr>
      <w:r w:rsidRPr="009C56FF">
        <w:rPr>
          <w:sz w:val="24"/>
          <w:szCs w:val="24"/>
          <w:lang w:val="es-ES"/>
        </w:rPr>
        <w:lastRenderedPageBreak/>
        <w:t>introducción</w:t>
      </w:r>
    </w:p>
    <w:p w:rsidR="004D0756" w:rsidRDefault="00131012" w:rsidP="007962BC">
      <w:pPr>
        <w:pStyle w:val="Textoindependiente"/>
        <w:rPr>
          <w:sz w:val="24"/>
          <w:szCs w:val="24"/>
          <w:lang w:val="es-ES"/>
        </w:rPr>
      </w:pPr>
      <w:r>
        <w:rPr>
          <w:sz w:val="24"/>
          <w:szCs w:val="24"/>
          <w:lang w:val="es-ES"/>
        </w:rPr>
        <w:t xml:space="preserve">El 6 de </w:t>
      </w:r>
      <w:r w:rsidR="007B6A22" w:rsidRPr="007B6A22">
        <w:rPr>
          <w:sz w:val="24"/>
          <w:szCs w:val="24"/>
          <w:lang w:val="es-ES"/>
        </w:rPr>
        <w:t xml:space="preserve">marzo del 2014 se sancionó la Ley Estatutaria 1712 por medio de la cual </w:t>
      </w:r>
      <w:r w:rsidR="004D0756">
        <w:rPr>
          <w:sz w:val="24"/>
          <w:szCs w:val="24"/>
          <w:lang w:val="es-ES"/>
        </w:rPr>
        <w:t>s</w:t>
      </w:r>
      <w:r w:rsidR="007B6A22" w:rsidRPr="007B6A22">
        <w:rPr>
          <w:sz w:val="24"/>
          <w:szCs w:val="24"/>
          <w:lang w:val="es-ES"/>
        </w:rPr>
        <w:t>e crea la Ley de Transparencia y del Derecho de Acceso a la Información P</w:t>
      </w:r>
      <w:r w:rsidR="007B6A22">
        <w:rPr>
          <w:sz w:val="24"/>
          <w:szCs w:val="24"/>
          <w:lang w:val="es-ES"/>
        </w:rPr>
        <w:t xml:space="preserve">ública. A lo largo del articulado de la Ley 1712, se </w:t>
      </w:r>
      <w:r w:rsidR="007B6A22" w:rsidRPr="007B6A22">
        <w:rPr>
          <w:sz w:val="24"/>
          <w:szCs w:val="24"/>
          <w:lang w:val="es-ES"/>
        </w:rPr>
        <w:t>le asigna al Ministerio P</w:t>
      </w:r>
      <w:r w:rsidR="007B6A22">
        <w:rPr>
          <w:sz w:val="24"/>
          <w:szCs w:val="24"/>
          <w:lang w:val="es-ES"/>
        </w:rPr>
        <w:t>úblico</w:t>
      </w:r>
      <w:r w:rsidR="007B6A22" w:rsidRPr="007B6A22">
        <w:rPr>
          <w:sz w:val="24"/>
          <w:szCs w:val="24"/>
          <w:lang w:val="es-ES"/>
        </w:rPr>
        <w:t xml:space="preserve"> </w:t>
      </w:r>
      <w:r w:rsidR="007B6A22">
        <w:rPr>
          <w:sz w:val="24"/>
          <w:szCs w:val="24"/>
          <w:lang w:val="es-ES"/>
        </w:rPr>
        <w:t xml:space="preserve">16 </w:t>
      </w:r>
      <w:r w:rsidR="007B6A22" w:rsidRPr="007B6A22">
        <w:rPr>
          <w:sz w:val="24"/>
          <w:szCs w:val="24"/>
          <w:lang w:val="es-ES"/>
        </w:rPr>
        <w:t>diferentes funciones</w:t>
      </w:r>
      <w:r>
        <w:rPr>
          <w:sz w:val="24"/>
          <w:szCs w:val="24"/>
          <w:lang w:val="es-ES"/>
        </w:rPr>
        <w:t xml:space="preserve"> como órgano garante</w:t>
      </w:r>
      <w:r w:rsidR="004D0756">
        <w:rPr>
          <w:sz w:val="24"/>
          <w:szCs w:val="24"/>
          <w:lang w:val="es-ES"/>
        </w:rPr>
        <w:t xml:space="preserve">, </w:t>
      </w:r>
      <w:r w:rsidR="007B6A22">
        <w:rPr>
          <w:sz w:val="24"/>
          <w:szCs w:val="24"/>
          <w:lang w:val="es-ES"/>
        </w:rPr>
        <w:t>que incluye</w:t>
      </w:r>
      <w:r w:rsidR="007962BC">
        <w:rPr>
          <w:sz w:val="24"/>
          <w:szCs w:val="24"/>
          <w:lang w:val="es-ES"/>
        </w:rPr>
        <w:t>n</w:t>
      </w:r>
      <w:r w:rsidR="007B6A22">
        <w:rPr>
          <w:sz w:val="24"/>
          <w:szCs w:val="24"/>
          <w:lang w:val="es-ES"/>
        </w:rPr>
        <w:t xml:space="preserve"> </w:t>
      </w:r>
      <w:r w:rsidR="007962BC">
        <w:rPr>
          <w:sz w:val="24"/>
          <w:szCs w:val="24"/>
          <w:lang w:val="es-ES"/>
        </w:rPr>
        <w:t xml:space="preserve">la designación </w:t>
      </w:r>
      <w:r w:rsidR="007B6A22">
        <w:rPr>
          <w:sz w:val="24"/>
          <w:szCs w:val="24"/>
          <w:lang w:val="es-ES"/>
        </w:rPr>
        <w:t xml:space="preserve">de una </w:t>
      </w:r>
      <w:r>
        <w:rPr>
          <w:sz w:val="24"/>
          <w:szCs w:val="24"/>
          <w:lang w:val="es-ES"/>
        </w:rPr>
        <w:t>oficina</w:t>
      </w:r>
      <w:r w:rsidR="007B6A22">
        <w:rPr>
          <w:sz w:val="24"/>
          <w:szCs w:val="24"/>
          <w:lang w:val="es-ES"/>
        </w:rPr>
        <w:t xml:space="preserve"> que dispondrá de los medios necesarios para el cumplimiento de dichas responsabilidades. En este sentido, el Procurador General de la Naci</w:t>
      </w:r>
      <w:r>
        <w:rPr>
          <w:sz w:val="24"/>
          <w:szCs w:val="24"/>
          <w:lang w:val="es-ES"/>
        </w:rPr>
        <w:t>ón y supremo di</w:t>
      </w:r>
      <w:r w:rsidR="007962BC">
        <w:rPr>
          <w:sz w:val="24"/>
          <w:szCs w:val="24"/>
          <w:lang w:val="es-ES"/>
        </w:rPr>
        <w:t xml:space="preserve">rector del Ministerio Público, </w:t>
      </w:r>
      <w:r>
        <w:rPr>
          <w:sz w:val="24"/>
          <w:szCs w:val="24"/>
          <w:lang w:val="es-ES"/>
        </w:rPr>
        <w:t>creó el Grupo de Transparencia y del Derecho de Acceso a la Información Pública (GTDAIP)</w:t>
      </w:r>
      <w:r w:rsidR="00547A17">
        <w:rPr>
          <w:sz w:val="24"/>
          <w:szCs w:val="24"/>
          <w:lang w:val="es-ES"/>
        </w:rPr>
        <w:t xml:space="preserve"> y asignó como coordinadora del Grupo a la Viceprocuradora General de la Nación</w:t>
      </w:r>
      <w:r>
        <w:rPr>
          <w:sz w:val="24"/>
          <w:szCs w:val="24"/>
          <w:lang w:val="es-ES"/>
        </w:rPr>
        <w:t xml:space="preserve"> mediante la</w:t>
      </w:r>
      <w:r w:rsidR="004D0756">
        <w:rPr>
          <w:sz w:val="24"/>
          <w:szCs w:val="24"/>
          <w:lang w:val="es-ES"/>
        </w:rPr>
        <w:t>s</w:t>
      </w:r>
      <w:r>
        <w:rPr>
          <w:sz w:val="24"/>
          <w:szCs w:val="24"/>
          <w:lang w:val="es-ES"/>
        </w:rPr>
        <w:t xml:space="preserve"> Resoluci</w:t>
      </w:r>
      <w:r w:rsidR="00547A17">
        <w:rPr>
          <w:sz w:val="24"/>
          <w:szCs w:val="24"/>
          <w:lang w:val="es-ES"/>
        </w:rPr>
        <w:t>ones</w:t>
      </w:r>
      <w:r>
        <w:rPr>
          <w:sz w:val="24"/>
          <w:szCs w:val="24"/>
          <w:lang w:val="es-ES"/>
        </w:rPr>
        <w:t xml:space="preserve"> 146 del 8 de mayo</w:t>
      </w:r>
      <w:r w:rsidR="00547A17">
        <w:rPr>
          <w:sz w:val="24"/>
          <w:szCs w:val="24"/>
          <w:lang w:val="es-ES"/>
        </w:rPr>
        <w:t xml:space="preserve"> y 350 del 29 de octubre </w:t>
      </w:r>
      <w:r>
        <w:rPr>
          <w:sz w:val="24"/>
          <w:szCs w:val="24"/>
          <w:lang w:val="es-ES"/>
        </w:rPr>
        <w:t>del presente</w:t>
      </w:r>
      <w:r w:rsidR="00B0292B">
        <w:rPr>
          <w:sz w:val="24"/>
          <w:szCs w:val="24"/>
          <w:lang w:val="es-ES"/>
        </w:rPr>
        <w:t xml:space="preserve"> año</w:t>
      </w:r>
      <w:r w:rsidR="00547A17">
        <w:rPr>
          <w:sz w:val="24"/>
          <w:szCs w:val="24"/>
          <w:lang w:val="es-ES"/>
        </w:rPr>
        <w:t>, respectivamente.</w:t>
      </w:r>
      <w:r w:rsidR="007962BC">
        <w:rPr>
          <w:sz w:val="24"/>
          <w:szCs w:val="24"/>
          <w:lang w:val="es-ES"/>
        </w:rPr>
        <w:t xml:space="preserve"> </w:t>
      </w:r>
      <w:r>
        <w:rPr>
          <w:sz w:val="24"/>
          <w:szCs w:val="24"/>
          <w:lang w:val="es-ES"/>
        </w:rPr>
        <w:t>El GTDAIP entró formalmente en operaci</w:t>
      </w:r>
      <w:r w:rsidR="00295E74">
        <w:rPr>
          <w:sz w:val="24"/>
          <w:szCs w:val="24"/>
          <w:lang w:val="es-ES"/>
        </w:rPr>
        <w:t>ón en a</w:t>
      </w:r>
      <w:r>
        <w:rPr>
          <w:sz w:val="24"/>
          <w:szCs w:val="24"/>
          <w:lang w:val="es-ES"/>
        </w:rPr>
        <w:t>gosto del 2014</w:t>
      </w:r>
      <w:r w:rsidR="00295E74">
        <w:rPr>
          <w:sz w:val="24"/>
          <w:szCs w:val="24"/>
          <w:lang w:val="es-ES"/>
        </w:rPr>
        <w:t xml:space="preserve">. A partir de dicha fecha se empezó a consolidar el equipo de trabajo, organización y estrategia del </w:t>
      </w:r>
      <w:r w:rsidR="004D0756">
        <w:rPr>
          <w:sz w:val="24"/>
          <w:szCs w:val="24"/>
          <w:lang w:val="es-ES"/>
        </w:rPr>
        <w:t>grupo</w:t>
      </w:r>
      <w:r w:rsidR="00295E74">
        <w:rPr>
          <w:sz w:val="24"/>
          <w:szCs w:val="24"/>
          <w:lang w:val="es-ES"/>
        </w:rPr>
        <w:t xml:space="preserve"> en paralelo con la puesta en marcha de sus funciones. </w:t>
      </w:r>
    </w:p>
    <w:p w:rsidR="001428C6" w:rsidRDefault="00295E74" w:rsidP="007962BC">
      <w:pPr>
        <w:pStyle w:val="Textoindependiente"/>
        <w:rPr>
          <w:sz w:val="24"/>
          <w:szCs w:val="24"/>
          <w:lang w:val="es-ES"/>
        </w:rPr>
      </w:pPr>
      <w:r>
        <w:rPr>
          <w:sz w:val="24"/>
          <w:szCs w:val="24"/>
          <w:lang w:val="es-ES"/>
        </w:rPr>
        <w:t xml:space="preserve">En virtud de la Circular </w:t>
      </w:r>
      <w:r w:rsidR="00245DD3">
        <w:rPr>
          <w:sz w:val="24"/>
          <w:szCs w:val="24"/>
          <w:lang w:val="es-ES"/>
        </w:rPr>
        <w:t>016 de 2014 el presente</w:t>
      </w:r>
      <w:r>
        <w:rPr>
          <w:sz w:val="24"/>
          <w:szCs w:val="24"/>
          <w:lang w:val="es-ES"/>
        </w:rPr>
        <w:t xml:space="preserve"> informe describe la gestión</w:t>
      </w:r>
      <w:r w:rsidR="00F007FE">
        <w:rPr>
          <w:sz w:val="24"/>
          <w:szCs w:val="24"/>
          <w:lang w:val="es-ES"/>
        </w:rPr>
        <w:t xml:space="preserve"> y los principales logros alcanzados</w:t>
      </w:r>
      <w:r>
        <w:rPr>
          <w:sz w:val="24"/>
          <w:szCs w:val="24"/>
          <w:lang w:val="es-ES"/>
        </w:rPr>
        <w:t xml:space="preserve"> del GTDAIP </w:t>
      </w:r>
      <w:r w:rsidR="00F007FE">
        <w:rPr>
          <w:sz w:val="24"/>
          <w:szCs w:val="24"/>
          <w:lang w:val="es-ES"/>
        </w:rPr>
        <w:t xml:space="preserve">en la vigencia </w:t>
      </w:r>
      <w:r w:rsidR="00245DD3">
        <w:rPr>
          <w:sz w:val="24"/>
          <w:szCs w:val="24"/>
          <w:lang w:val="es-ES"/>
        </w:rPr>
        <w:t>2014</w:t>
      </w:r>
      <w:r w:rsidR="009D7821">
        <w:rPr>
          <w:sz w:val="24"/>
          <w:szCs w:val="24"/>
          <w:lang w:val="es-ES"/>
        </w:rPr>
        <w:t>,</w:t>
      </w:r>
      <w:r w:rsidR="00245DD3">
        <w:rPr>
          <w:sz w:val="24"/>
          <w:szCs w:val="24"/>
          <w:lang w:val="es-ES"/>
        </w:rPr>
        <w:t xml:space="preserve"> el cual se presenta ante la Oficina de Planeación de la Procuraduría General de la Nación</w:t>
      </w:r>
      <w:r w:rsidR="009D7821">
        <w:rPr>
          <w:sz w:val="24"/>
          <w:szCs w:val="24"/>
          <w:lang w:val="es-ES"/>
        </w:rPr>
        <w:t xml:space="preserve"> (PGN)</w:t>
      </w:r>
      <w:r w:rsidR="00245DD3">
        <w:rPr>
          <w:sz w:val="24"/>
          <w:szCs w:val="24"/>
          <w:lang w:val="es-ES"/>
        </w:rPr>
        <w:t>.</w:t>
      </w:r>
      <w:r w:rsidR="007962BC">
        <w:rPr>
          <w:sz w:val="24"/>
          <w:szCs w:val="24"/>
          <w:lang w:val="es-ES"/>
        </w:rPr>
        <w:t xml:space="preserve"> </w:t>
      </w:r>
      <w:r w:rsidR="004D0756">
        <w:rPr>
          <w:sz w:val="24"/>
          <w:szCs w:val="24"/>
          <w:lang w:val="es-ES"/>
        </w:rPr>
        <w:t>A continuación, e</w:t>
      </w:r>
      <w:r w:rsidR="00F007FE">
        <w:rPr>
          <w:sz w:val="24"/>
          <w:szCs w:val="24"/>
          <w:lang w:val="es-ES"/>
        </w:rPr>
        <w:t xml:space="preserve">n la primera parte del informe se </w:t>
      </w:r>
      <w:r w:rsidR="004D0756">
        <w:rPr>
          <w:sz w:val="24"/>
          <w:szCs w:val="24"/>
          <w:lang w:val="es-ES"/>
        </w:rPr>
        <w:t>describe</w:t>
      </w:r>
      <w:r w:rsidR="007962BC">
        <w:rPr>
          <w:sz w:val="24"/>
          <w:szCs w:val="24"/>
          <w:lang w:val="es-ES"/>
        </w:rPr>
        <w:t>n</w:t>
      </w:r>
      <w:r w:rsidR="004D0756">
        <w:rPr>
          <w:sz w:val="24"/>
          <w:szCs w:val="24"/>
          <w:lang w:val="es-ES"/>
        </w:rPr>
        <w:t xml:space="preserve"> el diseño</w:t>
      </w:r>
      <w:r w:rsidR="007962BC">
        <w:rPr>
          <w:sz w:val="24"/>
          <w:szCs w:val="24"/>
          <w:lang w:val="es-ES"/>
        </w:rPr>
        <w:t xml:space="preserve"> y avances</w:t>
      </w:r>
      <w:r w:rsidR="004D0756">
        <w:rPr>
          <w:sz w:val="24"/>
          <w:szCs w:val="24"/>
          <w:lang w:val="es-ES"/>
        </w:rPr>
        <w:t xml:space="preserve"> </w:t>
      </w:r>
      <w:r w:rsidR="007962BC">
        <w:rPr>
          <w:sz w:val="24"/>
          <w:szCs w:val="24"/>
          <w:lang w:val="es-ES"/>
        </w:rPr>
        <w:t xml:space="preserve">en materia </w:t>
      </w:r>
      <w:r w:rsidR="004D0756">
        <w:rPr>
          <w:sz w:val="24"/>
          <w:szCs w:val="24"/>
          <w:lang w:val="es-ES"/>
        </w:rPr>
        <w:t>o</w:t>
      </w:r>
      <w:r w:rsidR="001428C6">
        <w:rPr>
          <w:sz w:val="24"/>
          <w:szCs w:val="24"/>
          <w:lang w:val="es-ES"/>
        </w:rPr>
        <w:t>rganizacional del GTDAIP. En la segunda parte y a partir de la estructura del GTDAIP, se hace un recuento de los resultados de cada línea de trabajo así como de los proyectos estratégicos. En la</w:t>
      </w:r>
      <w:r w:rsidR="009D7821">
        <w:rPr>
          <w:sz w:val="24"/>
          <w:szCs w:val="24"/>
          <w:lang w:val="es-ES"/>
        </w:rPr>
        <w:t xml:space="preserve"> tercera parte</w:t>
      </w:r>
      <w:r w:rsidR="001428C6">
        <w:rPr>
          <w:sz w:val="24"/>
          <w:szCs w:val="24"/>
          <w:lang w:val="es-ES"/>
        </w:rPr>
        <w:t xml:space="preserve"> se identifican los principales logros de la dependencia.</w:t>
      </w:r>
    </w:p>
    <w:p w:rsidR="001428C6" w:rsidRDefault="001428C6" w:rsidP="007B6A22">
      <w:pPr>
        <w:pStyle w:val="Textoindependiente"/>
        <w:rPr>
          <w:sz w:val="24"/>
          <w:szCs w:val="24"/>
          <w:lang w:val="es-ES"/>
        </w:rPr>
      </w:pPr>
    </w:p>
    <w:p w:rsidR="001428C6" w:rsidRPr="009C56FF" w:rsidRDefault="007962BC" w:rsidP="001428C6">
      <w:pPr>
        <w:pStyle w:val="Ttulo1"/>
        <w:rPr>
          <w:sz w:val="24"/>
          <w:szCs w:val="24"/>
          <w:lang w:val="es-ES"/>
        </w:rPr>
      </w:pPr>
      <w:r>
        <w:rPr>
          <w:sz w:val="24"/>
          <w:szCs w:val="24"/>
          <w:lang w:val="es-ES"/>
        </w:rPr>
        <w:t>1</w:t>
      </w:r>
      <w:r w:rsidR="001428C6">
        <w:rPr>
          <w:sz w:val="24"/>
          <w:szCs w:val="24"/>
          <w:lang w:val="es-ES"/>
        </w:rPr>
        <w:t xml:space="preserve">. Diseño ORGANIZACIONAL </w:t>
      </w:r>
    </w:p>
    <w:p w:rsidR="007962BC" w:rsidRPr="007962BC" w:rsidRDefault="007962BC" w:rsidP="007962BC">
      <w:pPr>
        <w:pStyle w:val="Textoindependiente"/>
        <w:rPr>
          <w:sz w:val="24"/>
          <w:szCs w:val="24"/>
          <w:lang w:val="es-ES"/>
        </w:rPr>
      </w:pPr>
      <w:r>
        <w:rPr>
          <w:sz w:val="24"/>
          <w:szCs w:val="24"/>
          <w:lang w:val="es-ES"/>
        </w:rPr>
        <w:t>Dado que el GTDAIP es una dependencia nueva en la estructura de la PGN, el componente organizacional tuvo una gran relevancia. Los principales logros fueron:</w:t>
      </w:r>
    </w:p>
    <w:p w:rsidR="006E0D41" w:rsidRPr="00541DF3" w:rsidRDefault="006E0D41" w:rsidP="007B6A22">
      <w:pPr>
        <w:pStyle w:val="Textoindependiente"/>
        <w:rPr>
          <w:b/>
          <w:sz w:val="24"/>
          <w:szCs w:val="24"/>
          <w:lang w:val="es-ES"/>
        </w:rPr>
      </w:pPr>
      <w:r w:rsidRPr="00541DF3">
        <w:rPr>
          <w:b/>
          <w:sz w:val="24"/>
          <w:szCs w:val="24"/>
          <w:lang w:val="es-ES"/>
        </w:rPr>
        <w:t>1.1. Expedición de la Resolución 282 del 5 de septiembre de 2014 por medio de la cual se establece la Metodología para que la Procuraduría General de la Nación, la Defensoría del Pueblo y las Personerías cumplan con las funciones y atribuciones estipuladas en la Ley 1712 de 2014.</w:t>
      </w:r>
    </w:p>
    <w:p w:rsidR="006E0D41" w:rsidRDefault="006E0D41" w:rsidP="00423D1A">
      <w:pPr>
        <w:pStyle w:val="Textoindependiente"/>
        <w:rPr>
          <w:sz w:val="24"/>
          <w:szCs w:val="24"/>
          <w:lang w:val="es-ES"/>
        </w:rPr>
      </w:pPr>
      <w:r>
        <w:rPr>
          <w:sz w:val="24"/>
          <w:szCs w:val="24"/>
          <w:lang w:val="es-ES"/>
        </w:rPr>
        <w:t>La Ley 1712 de 2014 en su artículo 23 señala que la Procuraduría General de la Nación en un plazo no mayor a seis meses establecerá una metodología para que el Ministerio Público cumpla con las funciones y atribuciones que le fueron asignadas. En este sentido, a través de la Resolución 282</w:t>
      </w:r>
      <w:r w:rsidR="00CE14FB">
        <w:rPr>
          <w:sz w:val="24"/>
          <w:szCs w:val="24"/>
          <w:lang w:val="es-ES"/>
        </w:rPr>
        <w:t xml:space="preserve"> del 5 de septiembre del 2014</w:t>
      </w:r>
      <w:r>
        <w:rPr>
          <w:sz w:val="24"/>
          <w:szCs w:val="24"/>
          <w:lang w:val="es-ES"/>
        </w:rPr>
        <w:t xml:space="preserve"> se </w:t>
      </w:r>
      <w:r w:rsidR="00423D1A">
        <w:rPr>
          <w:sz w:val="24"/>
          <w:szCs w:val="24"/>
          <w:lang w:val="es-ES"/>
        </w:rPr>
        <w:t xml:space="preserve">determinan los principales lineamientos de organización del Ministerio Público para cumplir con las funciones de órgano garante de la Ley. </w:t>
      </w:r>
    </w:p>
    <w:p w:rsidR="00423D1A" w:rsidRDefault="00423D1A" w:rsidP="00CE332F">
      <w:pPr>
        <w:pStyle w:val="Textoindependiente"/>
        <w:rPr>
          <w:sz w:val="24"/>
          <w:szCs w:val="24"/>
          <w:lang w:val="es-CO"/>
        </w:rPr>
      </w:pPr>
      <w:r>
        <w:rPr>
          <w:sz w:val="24"/>
          <w:szCs w:val="24"/>
          <w:lang w:val="es-ES"/>
        </w:rPr>
        <w:t xml:space="preserve">Dicha metodología fue el producto de una serie de análisis y consultas a expertos. </w:t>
      </w:r>
      <w:r w:rsidRPr="00423D1A">
        <w:rPr>
          <w:sz w:val="24"/>
          <w:szCs w:val="24"/>
          <w:lang w:val="es-CO"/>
        </w:rPr>
        <w:t>En primer lugar, a partir del 31 de enero de 2014, se realizó una consultoría</w:t>
      </w:r>
      <w:r w:rsidR="009D7821">
        <w:rPr>
          <w:sz w:val="24"/>
          <w:szCs w:val="24"/>
          <w:lang w:val="es-CO"/>
        </w:rPr>
        <w:t xml:space="preserve"> financiada por el programa </w:t>
      </w:r>
      <w:proofErr w:type="spellStart"/>
      <w:r w:rsidR="009D7821">
        <w:rPr>
          <w:sz w:val="24"/>
          <w:szCs w:val="24"/>
          <w:lang w:val="es-CO"/>
        </w:rPr>
        <w:t>EUROsociAL</w:t>
      </w:r>
      <w:proofErr w:type="spellEnd"/>
      <w:r w:rsidRPr="00423D1A">
        <w:rPr>
          <w:sz w:val="24"/>
          <w:szCs w:val="24"/>
          <w:lang w:val="es-CO"/>
        </w:rPr>
        <w:t xml:space="preserve"> II</w:t>
      </w:r>
      <w:r>
        <w:rPr>
          <w:sz w:val="24"/>
          <w:szCs w:val="24"/>
          <w:lang w:val="es-CO"/>
        </w:rPr>
        <w:t xml:space="preserve"> que culminó en mayo del mismo año. </w:t>
      </w:r>
      <w:r w:rsidR="00B05615">
        <w:rPr>
          <w:sz w:val="24"/>
          <w:szCs w:val="24"/>
          <w:lang w:val="es-CO"/>
        </w:rPr>
        <w:t>Gracias a</w:t>
      </w:r>
      <w:r>
        <w:rPr>
          <w:sz w:val="24"/>
          <w:szCs w:val="24"/>
          <w:lang w:val="es-CO"/>
        </w:rPr>
        <w:t xml:space="preserve"> dicha consultoría </w:t>
      </w:r>
      <w:r w:rsidRPr="00423D1A">
        <w:rPr>
          <w:sz w:val="24"/>
          <w:szCs w:val="24"/>
          <w:lang w:val="es-CO"/>
        </w:rPr>
        <w:t xml:space="preserve">se </w:t>
      </w:r>
      <w:r w:rsidR="00B05615">
        <w:rPr>
          <w:sz w:val="24"/>
          <w:szCs w:val="24"/>
          <w:lang w:val="es-CO"/>
        </w:rPr>
        <w:t>diseñó una estrategia d</w:t>
      </w:r>
      <w:r w:rsidR="00B05615" w:rsidRPr="00423D1A">
        <w:rPr>
          <w:sz w:val="24"/>
          <w:szCs w:val="24"/>
          <w:lang w:val="es-CO"/>
        </w:rPr>
        <w:t xml:space="preserve">e coordinación interna </w:t>
      </w:r>
      <w:r w:rsidR="00B05615">
        <w:rPr>
          <w:sz w:val="24"/>
          <w:szCs w:val="24"/>
          <w:lang w:val="es-CO"/>
        </w:rPr>
        <w:t>entre entidades del M</w:t>
      </w:r>
      <w:r w:rsidR="00B05615" w:rsidRPr="00423D1A">
        <w:rPr>
          <w:sz w:val="24"/>
          <w:szCs w:val="24"/>
          <w:lang w:val="es-CO"/>
        </w:rPr>
        <w:t>inisterio</w:t>
      </w:r>
      <w:r w:rsidR="00B05615">
        <w:rPr>
          <w:sz w:val="24"/>
          <w:szCs w:val="24"/>
          <w:lang w:val="es-CO"/>
        </w:rPr>
        <w:t xml:space="preserve"> P</w:t>
      </w:r>
      <w:r w:rsidR="00B05615" w:rsidRPr="00423D1A">
        <w:rPr>
          <w:sz w:val="24"/>
          <w:szCs w:val="24"/>
          <w:lang w:val="es-CO"/>
        </w:rPr>
        <w:t>úblico</w:t>
      </w:r>
      <w:r w:rsidR="00CB6D98">
        <w:rPr>
          <w:sz w:val="24"/>
          <w:szCs w:val="24"/>
          <w:lang w:val="es-CO"/>
        </w:rPr>
        <w:t xml:space="preserve"> basada en un análisis comparado de </w:t>
      </w:r>
      <w:r w:rsidR="00CB6D98" w:rsidRPr="00423D1A">
        <w:rPr>
          <w:sz w:val="24"/>
          <w:szCs w:val="24"/>
          <w:lang w:val="es-CO"/>
        </w:rPr>
        <w:t>diferentes órganos garantes de las leyes de acceso a inform</w:t>
      </w:r>
      <w:r w:rsidR="00B0292B">
        <w:rPr>
          <w:sz w:val="24"/>
          <w:szCs w:val="24"/>
          <w:lang w:val="es-CO"/>
        </w:rPr>
        <w:t>a</w:t>
      </w:r>
      <w:r w:rsidR="00CE332F">
        <w:rPr>
          <w:sz w:val="24"/>
          <w:szCs w:val="24"/>
          <w:lang w:val="es-CO"/>
        </w:rPr>
        <w:t xml:space="preserve">ción pública en América Latina. </w:t>
      </w:r>
      <w:r w:rsidRPr="00423D1A">
        <w:rPr>
          <w:sz w:val="24"/>
          <w:szCs w:val="24"/>
          <w:lang w:val="es-CO"/>
        </w:rPr>
        <w:t xml:space="preserve">En segundo término, se realizaron consultas al interior de la Procuraduría, con </w:t>
      </w:r>
      <w:r w:rsidR="009D7821" w:rsidRPr="009D7821">
        <w:rPr>
          <w:sz w:val="24"/>
          <w:szCs w:val="24"/>
          <w:lang w:val="es-CO"/>
        </w:rPr>
        <w:t>Federación Nacional de Personeros de Colombia</w:t>
      </w:r>
      <w:r w:rsidR="009D7821">
        <w:rPr>
          <w:sz w:val="24"/>
          <w:szCs w:val="24"/>
          <w:lang w:val="es-CO"/>
        </w:rPr>
        <w:t xml:space="preserve"> (</w:t>
      </w:r>
      <w:r w:rsidRPr="00423D1A">
        <w:rPr>
          <w:sz w:val="24"/>
          <w:szCs w:val="24"/>
          <w:lang w:val="es-CO"/>
        </w:rPr>
        <w:t>FENALPER</w:t>
      </w:r>
      <w:r w:rsidR="009D7821">
        <w:rPr>
          <w:sz w:val="24"/>
          <w:szCs w:val="24"/>
          <w:lang w:val="es-CO"/>
        </w:rPr>
        <w:t>)</w:t>
      </w:r>
      <w:r w:rsidRPr="00423D1A">
        <w:rPr>
          <w:sz w:val="24"/>
          <w:szCs w:val="24"/>
          <w:lang w:val="es-CO"/>
        </w:rPr>
        <w:t>, la Defensoría del Pueblo,</w:t>
      </w:r>
      <w:r w:rsidR="009D7821">
        <w:rPr>
          <w:sz w:val="24"/>
          <w:szCs w:val="24"/>
          <w:lang w:val="es-CO"/>
        </w:rPr>
        <w:t xml:space="preserve"> la Relatoría Especial para la L</w:t>
      </w:r>
      <w:r w:rsidRPr="00423D1A">
        <w:rPr>
          <w:sz w:val="24"/>
          <w:szCs w:val="24"/>
          <w:lang w:val="es-CO"/>
        </w:rPr>
        <w:t>ibertad de Expresión de la OEA y la sociedad civil, de las cuales surgieron sugerencias que sirvieron como insumo para la formulación de la metodología.</w:t>
      </w:r>
    </w:p>
    <w:p w:rsidR="004D0756" w:rsidRDefault="00CE332F" w:rsidP="00CE332F">
      <w:pPr>
        <w:ind w:firstLine="360"/>
        <w:jc w:val="both"/>
        <w:rPr>
          <w:sz w:val="24"/>
          <w:szCs w:val="24"/>
          <w:lang w:val="es-CO"/>
        </w:rPr>
      </w:pPr>
      <w:r>
        <w:rPr>
          <w:sz w:val="24"/>
          <w:szCs w:val="24"/>
          <w:lang w:val="es-CO"/>
        </w:rPr>
        <w:t>La R</w:t>
      </w:r>
      <w:r w:rsidR="00166250">
        <w:rPr>
          <w:sz w:val="24"/>
          <w:szCs w:val="24"/>
          <w:lang w:val="es-CO"/>
        </w:rPr>
        <w:t>esoluci</w:t>
      </w:r>
      <w:r>
        <w:rPr>
          <w:sz w:val="24"/>
          <w:szCs w:val="24"/>
          <w:lang w:val="es-CO"/>
        </w:rPr>
        <w:t xml:space="preserve">ón 282 asigna funciones a las diferentes entidades del Ministerio Público a partir de las competencias y capacidades de cada una. De esta manera, </w:t>
      </w:r>
      <w:r w:rsidRPr="00166250">
        <w:rPr>
          <w:sz w:val="24"/>
          <w:szCs w:val="24"/>
          <w:lang w:val="es-CO"/>
        </w:rPr>
        <w:t xml:space="preserve">la Defensoría del Pueblo expidió la resolución 1612 del 10 de noviembre de 2014, por medio de la cual se asignan las </w:t>
      </w:r>
      <w:r w:rsidRPr="00166250">
        <w:rPr>
          <w:sz w:val="24"/>
          <w:szCs w:val="24"/>
          <w:lang w:val="es-CO"/>
        </w:rPr>
        <w:lastRenderedPageBreak/>
        <w:t xml:space="preserve">dependencias responsables de desempeñar las funciones </w:t>
      </w:r>
      <w:r>
        <w:rPr>
          <w:sz w:val="24"/>
          <w:szCs w:val="24"/>
          <w:lang w:val="es-CO"/>
        </w:rPr>
        <w:t xml:space="preserve">establecidas por la Ley al interior de dicha entidad. </w:t>
      </w:r>
    </w:p>
    <w:p w:rsidR="007962BC" w:rsidRDefault="007962BC" w:rsidP="00CE332F">
      <w:pPr>
        <w:ind w:firstLine="360"/>
        <w:jc w:val="both"/>
        <w:rPr>
          <w:sz w:val="24"/>
          <w:szCs w:val="24"/>
          <w:lang w:val="es-CO"/>
        </w:rPr>
      </w:pPr>
    </w:p>
    <w:p w:rsidR="00C81660" w:rsidRDefault="00CE332F" w:rsidP="00CE332F">
      <w:pPr>
        <w:ind w:firstLine="360"/>
        <w:jc w:val="both"/>
        <w:rPr>
          <w:sz w:val="24"/>
          <w:szCs w:val="24"/>
          <w:lang w:val="es-CO"/>
        </w:rPr>
      </w:pPr>
      <w:r>
        <w:rPr>
          <w:sz w:val="24"/>
          <w:szCs w:val="24"/>
          <w:lang w:val="es-CO"/>
        </w:rPr>
        <w:t>As</w:t>
      </w:r>
      <w:r w:rsidR="004D0756">
        <w:rPr>
          <w:sz w:val="24"/>
          <w:szCs w:val="24"/>
          <w:lang w:val="es-CO"/>
        </w:rPr>
        <w:t xml:space="preserve">í </w:t>
      </w:r>
      <w:r>
        <w:rPr>
          <w:sz w:val="24"/>
          <w:szCs w:val="24"/>
          <w:lang w:val="es-CO"/>
        </w:rPr>
        <w:t>mismo,</w:t>
      </w:r>
      <w:r w:rsidR="007962BC">
        <w:rPr>
          <w:sz w:val="24"/>
          <w:szCs w:val="24"/>
          <w:lang w:val="es-CO"/>
        </w:rPr>
        <w:t xml:space="preserve"> el Artículo segundo</w:t>
      </w:r>
      <w:r w:rsidR="004D0756">
        <w:rPr>
          <w:sz w:val="24"/>
          <w:szCs w:val="24"/>
          <w:lang w:val="es-CO"/>
        </w:rPr>
        <w:t xml:space="preserve"> de </w:t>
      </w:r>
      <w:r>
        <w:rPr>
          <w:sz w:val="24"/>
          <w:szCs w:val="24"/>
          <w:lang w:val="es-CO"/>
        </w:rPr>
        <w:t xml:space="preserve">la Resolución 282 crea el Comité de Trasparencia y del Derecho de Acceso a la Información Pública del Ministerio Público </w:t>
      </w:r>
      <w:r w:rsidR="004D0756">
        <w:rPr>
          <w:sz w:val="24"/>
          <w:szCs w:val="24"/>
          <w:lang w:val="es-CO"/>
        </w:rPr>
        <w:t xml:space="preserve">conformado por </w:t>
      </w:r>
      <w:r>
        <w:rPr>
          <w:sz w:val="24"/>
          <w:szCs w:val="24"/>
          <w:lang w:val="es-CO"/>
        </w:rPr>
        <w:t>el Procurador General de la Nación</w:t>
      </w:r>
      <w:r w:rsidR="004D0756">
        <w:rPr>
          <w:sz w:val="24"/>
          <w:szCs w:val="24"/>
          <w:lang w:val="es-CO"/>
        </w:rPr>
        <w:t xml:space="preserve"> o su delegado</w:t>
      </w:r>
      <w:r>
        <w:rPr>
          <w:sz w:val="24"/>
          <w:szCs w:val="24"/>
          <w:lang w:val="es-CO"/>
        </w:rPr>
        <w:t>,</w:t>
      </w:r>
      <w:r w:rsidR="00C81660">
        <w:rPr>
          <w:sz w:val="24"/>
          <w:szCs w:val="24"/>
          <w:lang w:val="es-CO"/>
        </w:rPr>
        <w:t xml:space="preserve"> el Defensor del Pueblo o su delegado, el Presidente de la Federación Nacional de Personeros- FENALPER o su delegado y el director del </w:t>
      </w:r>
      <w:r>
        <w:rPr>
          <w:sz w:val="24"/>
          <w:szCs w:val="24"/>
          <w:lang w:val="es-CO"/>
        </w:rPr>
        <w:t>Instituto de Estudios del Ministerio Público (IEMP)</w:t>
      </w:r>
      <w:r w:rsidR="00C81660">
        <w:rPr>
          <w:sz w:val="24"/>
          <w:szCs w:val="24"/>
          <w:lang w:val="es-CO"/>
        </w:rPr>
        <w:t xml:space="preserve">. La secretaría técnica será ejercida por la Viceprocuradora General de la Nación como coordinadora del </w:t>
      </w:r>
      <w:r w:rsidR="007962BC">
        <w:rPr>
          <w:sz w:val="24"/>
          <w:szCs w:val="24"/>
          <w:lang w:val="es-CO"/>
        </w:rPr>
        <w:t>GTDAIP.</w:t>
      </w:r>
    </w:p>
    <w:p w:rsidR="000A5710" w:rsidRDefault="000A5710" w:rsidP="00CB6D98">
      <w:pPr>
        <w:ind w:firstLine="360"/>
        <w:jc w:val="both"/>
        <w:rPr>
          <w:sz w:val="24"/>
          <w:szCs w:val="24"/>
          <w:lang w:val="es-CO"/>
        </w:rPr>
      </w:pPr>
    </w:p>
    <w:p w:rsidR="000A5710" w:rsidRPr="00541DF3" w:rsidRDefault="00166250" w:rsidP="000A5710">
      <w:pPr>
        <w:pStyle w:val="Textoindependiente"/>
        <w:rPr>
          <w:b/>
          <w:sz w:val="24"/>
          <w:szCs w:val="24"/>
          <w:lang w:val="es-ES"/>
        </w:rPr>
      </w:pPr>
      <w:r>
        <w:rPr>
          <w:b/>
          <w:sz w:val="24"/>
          <w:szCs w:val="24"/>
          <w:lang w:val="es-ES"/>
        </w:rPr>
        <w:t>1.2</w:t>
      </w:r>
      <w:r w:rsidR="000A5710" w:rsidRPr="00541DF3">
        <w:rPr>
          <w:b/>
          <w:sz w:val="24"/>
          <w:szCs w:val="24"/>
          <w:lang w:val="es-ES"/>
        </w:rPr>
        <w:t xml:space="preserve">. </w:t>
      </w:r>
      <w:r w:rsidR="000A5710">
        <w:rPr>
          <w:b/>
          <w:sz w:val="24"/>
          <w:szCs w:val="24"/>
          <w:lang w:val="es-ES"/>
        </w:rPr>
        <w:t xml:space="preserve">Diseño </w:t>
      </w:r>
      <w:r w:rsidR="009D7821">
        <w:rPr>
          <w:b/>
          <w:sz w:val="24"/>
          <w:szCs w:val="24"/>
          <w:lang w:val="es-ES"/>
        </w:rPr>
        <w:t xml:space="preserve">estratégico y </w:t>
      </w:r>
      <w:r w:rsidR="000A5710">
        <w:rPr>
          <w:b/>
          <w:sz w:val="24"/>
          <w:szCs w:val="24"/>
          <w:lang w:val="es-ES"/>
        </w:rPr>
        <w:t xml:space="preserve">organizacional </w:t>
      </w:r>
      <w:r>
        <w:rPr>
          <w:b/>
          <w:sz w:val="24"/>
          <w:szCs w:val="24"/>
          <w:lang w:val="es-ES"/>
        </w:rPr>
        <w:t>del Grupo de Transparencia y del Derecho de Acceso a la Información Pública (GTDAIP).</w:t>
      </w:r>
    </w:p>
    <w:p w:rsidR="00C81660" w:rsidRPr="007962BC" w:rsidRDefault="00C81660" w:rsidP="007962BC">
      <w:pPr>
        <w:ind w:firstLine="360"/>
        <w:jc w:val="both"/>
        <w:rPr>
          <w:sz w:val="24"/>
          <w:szCs w:val="24"/>
          <w:lang w:val="es-CO"/>
        </w:rPr>
      </w:pPr>
      <w:r>
        <w:rPr>
          <w:sz w:val="24"/>
          <w:szCs w:val="24"/>
          <w:lang w:val="es-ES"/>
        </w:rPr>
        <w:t>L</w:t>
      </w:r>
      <w:r w:rsidR="000A44F9">
        <w:rPr>
          <w:sz w:val="24"/>
          <w:szCs w:val="24"/>
          <w:lang w:val="es-ES"/>
        </w:rPr>
        <w:t xml:space="preserve">a visión </w:t>
      </w:r>
      <w:r w:rsidR="007962BC">
        <w:rPr>
          <w:sz w:val="24"/>
          <w:szCs w:val="24"/>
          <w:lang w:val="es-ES"/>
        </w:rPr>
        <w:t xml:space="preserve">del GTDAIP </w:t>
      </w:r>
      <w:r w:rsidR="000A44F9">
        <w:rPr>
          <w:sz w:val="24"/>
          <w:szCs w:val="24"/>
          <w:lang w:val="es-ES"/>
        </w:rPr>
        <w:t>es “</w:t>
      </w:r>
      <w:r w:rsidR="000A44F9" w:rsidRPr="000A44F9">
        <w:rPr>
          <w:sz w:val="24"/>
          <w:szCs w:val="24"/>
          <w:lang w:val="es-CO"/>
        </w:rPr>
        <w:t>consolidar una cultura de transparencia en el Estado Colombiano</w:t>
      </w:r>
      <w:r w:rsidR="000A44F9">
        <w:rPr>
          <w:sz w:val="24"/>
          <w:szCs w:val="24"/>
          <w:lang w:val="es-CO"/>
        </w:rPr>
        <w:t xml:space="preserve">” y la misión </w:t>
      </w:r>
      <w:r w:rsidR="009D7821">
        <w:rPr>
          <w:sz w:val="24"/>
          <w:szCs w:val="24"/>
          <w:lang w:val="es-CO"/>
        </w:rPr>
        <w:t xml:space="preserve">es </w:t>
      </w:r>
      <w:r w:rsidR="000A44F9">
        <w:rPr>
          <w:sz w:val="24"/>
          <w:szCs w:val="24"/>
          <w:lang w:val="es-CO"/>
        </w:rPr>
        <w:t>“v</w:t>
      </w:r>
      <w:r w:rsidR="000A44F9" w:rsidRPr="000A44F9">
        <w:rPr>
          <w:sz w:val="24"/>
          <w:szCs w:val="24"/>
          <w:lang w:val="es-CO"/>
        </w:rPr>
        <w:t>elar por el adecuado cumplimiento del derecho fundamental de acceso a la información pública</w:t>
      </w:r>
      <w:r w:rsidR="000A44F9">
        <w:rPr>
          <w:sz w:val="24"/>
          <w:szCs w:val="24"/>
          <w:lang w:val="es-CO"/>
        </w:rPr>
        <w:t>”</w:t>
      </w:r>
      <w:r w:rsidR="009D7821">
        <w:rPr>
          <w:sz w:val="24"/>
          <w:szCs w:val="24"/>
          <w:lang w:val="es-CO"/>
        </w:rPr>
        <w:t>.</w:t>
      </w:r>
      <w:r w:rsidR="006A5670">
        <w:rPr>
          <w:sz w:val="24"/>
          <w:szCs w:val="24"/>
          <w:lang w:val="es-CO"/>
        </w:rPr>
        <w:t xml:space="preserve"> </w:t>
      </w:r>
      <w:r>
        <w:rPr>
          <w:sz w:val="24"/>
          <w:szCs w:val="24"/>
          <w:lang w:val="es-CO"/>
        </w:rPr>
        <w:t xml:space="preserve">Teniendo </w:t>
      </w:r>
      <w:r w:rsidR="00166250">
        <w:rPr>
          <w:sz w:val="24"/>
          <w:szCs w:val="24"/>
          <w:lang w:val="es-ES"/>
        </w:rPr>
        <w:t>en cuenta la Resoluci</w:t>
      </w:r>
      <w:r w:rsidR="00B0292B">
        <w:rPr>
          <w:sz w:val="24"/>
          <w:szCs w:val="24"/>
          <w:lang w:val="es-ES"/>
        </w:rPr>
        <w:t>ón 282</w:t>
      </w:r>
      <w:r w:rsidR="00CE14FB">
        <w:rPr>
          <w:sz w:val="24"/>
          <w:szCs w:val="24"/>
          <w:lang w:val="es-ES"/>
        </w:rPr>
        <w:t xml:space="preserve"> de</w:t>
      </w:r>
      <w:r w:rsidR="006F0D56">
        <w:rPr>
          <w:sz w:val="24"/>
          <w:szCs w:val="24"/>
          <w:lang w:val="es-ES"/>
        </w:rPr>
        <w:t xml:space="preserve"> 2014</w:t>
      </w:r>
      <w:r w:rsidR="00B0292B">
        <w:rPr>
          <w:sz w:val="24"/>
          <w:szCs w:val="24"/>
          <w:lang w:val="es-ES"/>
        </w:rPr>
        <w:t xml:space="preserve">, </w:t>
      </w:r>
      <w:r>
        <w:rPr>
          <w:sz w:val="24"/>
          <w:szCs w:val="24"/>
          <w:lang w:val="es-ES"/>
        </w:rPr>
        <w:t xml:space="preserve">se </w:t>
      </w:r>
      <w:r w:rsidR="00CE14FB">
        <w:rPr>
          <w:sz w:val="24"/>
          <w:szCs w:val="24"/>
          <w:lang w:val="es-ES"/>
        </w:rPr>
        <w:t xml:space="preserve">diseñó y estableció </w:t>
      </w:r>
      <w:r w:rsidR="006F0D56">
        <w:rPr>
          <w:sz w:val="24"/>
          <w:szCs w:val="24"/>
          <w:lang w:val="es-ES"/>
        </w:rPr>
        <w:t>la siguiente estructura organizacional con el propósito de dar cumplimiento a cada una de las funciones asignadas por la Ley</w:t>
      </w:r>
      <w:r w:rsidR="007962BC">
        <w:rPr>
          <w:sz w:val="24"/>
          <w:szCs w:val="24"/>
          <w:lang w:val="es-ES"/>
        </w:rPr>
        <w:t xml:space="preserve"> (</w:t>
      </w:r>
      <w:r w:rsidR="007962BC">
        <w:rPr>
          <w:sz w:val="24"/>
          <w:szCs w:val="24"/>
          <w:lang w:val="es-ES"/>
        </w:rPr>
        <w:t>ver g</w:t>
      </w:r>
      <w:r w:rsidR="007962BC">
        <w:rPr>
          <w:sz w:val="24"/>
          <w:szCs w:val="24"/>
          <w:lang w:val="es-ES"/>
        </w:rPr>
        <w:t>ráfico No. 1</w:t>
      </w:r>
      <w:r w:rsidR="007962BC">
        <w:rPr>
          <w:sz w:val="24"/>
          <w:szCs w:val="24"/>
          <w:lang w:val="es-ES"/>
        </w:rPr>
        <w:t>)</w:t>
      </w:r>
      <w:r w:rsidR="006F0D56">
        <w:rPr>
          <w:sz w:val="24"/>
          <w:szCs w:val="24"/>
          <w:lang w:val="es-ES"/>
        </w:rPr>
        <w:t xml:space="preserve">. </w:t>
      </w:r>
    </w:p>
    <w:p w:rsidR="000A44F9" w:rsidRDefault="000A44F9" w:rsidP="00CB6D98">
      <w:pPr>
        <w:ind w:firstLine="360"/>
        <w:jc w:val="both"/>
        <w:rPr>
          <w:sz w:val="24"/>
          <w:szCs w:val="24"/>
          <w:lang w:val="es-ES"/>
        </w:rPr>
      </w:pPr>
    </w:p>
    <w:p w:rsidR="000A44F9" w:rsidRDefault="007962BC" w:rsidP="00CB6D98">
      <w:pPr>
        <w:ind w:firstLine="360"/>
        <w:jc w:val="both"/>
        <w:rPr>
          <w:sz w:val="24"/>
          <w:szCs w:val="24"/>
          <w:lang w:val="es-ES"/>
        </w:rPr>
      </w:pPr>
      <w:r w:rsidRPr="007962BC">
        <w:rPr>
          <w:noProof/>
          <w:sz w:val="24"/>
          <w:szCs w:val="24"/>
          <w:lang w:val="es-ES"/>
        </w:rPr>
        <mc:AlternateContent>
          <mc:Choice Requires="wps">
            <w:drawing>
              <wp:anchor distT="45720" distB="45720" distL="114300" distR="114300" simplePos="0" relativeHeight="251663872" behindDoc="0" locked="0" layoutInCell="1" allowOverlap="1" wp14:anchorId="39DED230" wp14:editId="34323D73">
                <wp:simplePos x="0" y="0"/>
                <wp:positionH relativeFrom="column">
                  <wp:posOffset>1495425</wp:posOffset>
                </wp:positionH>
                <wp:positionV relativeFrom="paragraph">
                  <wp:posOffset>9525</wp:posOffset>
                </wp:positionV>
                <wp:extent cx="2360930" cy="2286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8600"/>
                        </a:xfrm>
                        <a:prstGeom prst="rect">
                          <a:avLst/>
                        </a:prstGeom>
                        <a:solidFill>
                          <a:srgbClr val="FFFFFF"/>
                        </a:solidFill>
                        <a:ln w="9525">
                          <a:noFill/>
                          <a:miter lim="800000"/>
                          <a:headEnd/>
                          <a:tailEnd/>
                        </a:ln>
                      </wps:spPr>
                      <wps:txbx>
                        <w:txbxContent>
                          <w:p w:rsidR="007962BC" w:rsidRPr="007962BC" w:rsidRDefault="007962BC" w:rsidP="007962BC">
                            <w:pPr>
                              <w:ind w:firstLine="360"/>
                              <w:jc w:val="center"/>
                              <w:rPr>
                                <w:b/>
                                <w:sz w:val="24"/>
                                <w:szCs w:val="24"/>
                                <w:lang w:val="es-ES"/>
                              </w:rPr>
                            </w:pPr>
                            <w:r w:rsidRPr="007962BC">
                              <w:rPr>
                                <w:b/>
                                <w:sz w:val="24"/>
                                <w:szCs w:val="24"/>
                                <w:lang w:val="es-ES"/>
                              </w:rPr>
                              <w:t>G</w:t>
                            </w:r>
                            <w:r w:rsidRPr="007962BC">
                              <w:rPr>
                                <w:b/>
                                <w:sz w:val="24"/>
                                <w:szCs w:val="24"/>
                                <w:lang w:val="es-ES"/>
                              </w:rPr>
                              <w:t>ráfico No. 1</w:t>
                            </w:r>
                          </w:p>
                          <w:p w:rsidR="007962BC" w:rsidRPr="007962BC" w:rsidRDefault="007962BC">
                            <w:pPr>
                              <w:rPr>
                                <w:lang w:val="es-CO"/>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9DED230" id="_x0000_t202" coordsize="21600,21600" o:spt="202" path="m,l,21600r21600,l21600,xe">
                <v:stroke joinstyle="miter"/>
                <v:path gradientshapeok="t" o:connecttype="rect"/>
              </v:shapetype>
              <v:shape id="Cuadro de texto 2" o:spid="_x0000_s1027" type="#_x0000_t202" style="position:absolute;left:0;text-align:left;margin-left:117.75pt;margin-top:.75pt;width:185.9pt;height:18pt;z-index:25166387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" stroked="f">
                <v:textbox>
                  <w:txbxContent>
                    <w:p w:rsidR="007962BC" w:rsidRPr="007962BC" w:rsidRDefault="007962BC" w:rsidP="007962BC">
                      <w:pPr>
                        <w:ind w:firstLine="360"/>
                        <w:jc w:val="center"/>
                        <w:rPr>
                          <w:b/>
                          <w:sz w:val="24"/>
                          <w:szCs w:val="24"/>
                          <w:lang w:val="es-ES"/>
                        </w:rPr>
                      </w:pPr>
                      <w:r w:rsidRPr="007962BC">
                        <w:rPr>
                          <w:b/>
                          <w:sz w:val="24"/>
                          <w:szCs w:val="24"/>
                          <w:lang w:val="es-ES"/>
                        </w:rPr>
                        <w:t>G</w:t>
                      </w:r>
                      <w:r w:rsidRPr="007962BC">
                        <w:rPr>
                          <w:b/>
                          <w:sz w:val="24"/>
                          <w:szCs w:val="24"/>
                          <w:lang w:val="es-ES"/>
                        </w:rPr>
                        <w:t>ráfico No. 1</w:t>
                      </w:r>
                    </w:p>
                    <w:p w:rsidR="007962BC" w:rsidRPr="007962BC" w:rsidRDefault="007962BC">
                      <w:pPr>
                        <w:rPr>
                          <w:lang w:val="es-CO"/>
                        </w:rPr>
                      </w:pPr>
                    </w:p>
                  </w:txbxContent>
                </v:textbox>
                <w10:wrap type="square"/>
              </v:shape>
            </w:pict>
          </mc:Fallback>
        </mc:AlternateContent>
      </w:r>
    </w:p>
    <w:p w:rsidR="000A44F9" w:rsidRDefault="007962BC" w:rsidP="00CB6D98">
      <w:pPr>
        <w:ind w:firstLine="360"/>
        <w:jc w:val="both"/>
        <w:rPr>
          <w:sz w:val="24"/>
          <w:szCs w:val="24"/>
          <w:lang w:val="es-ES"/>
        </w:rPr>
      </w:pPr>
      <w:r>
        <w:rPr>
          <w:noProof/>
          <w:sz w:val="24"/>
          <w:szCs w:val="24"/>
          <w:lang w:val="es-CO" w:eastAsia="es-CO" w:bidi="ar-SA"/>
        </w:rPr>
        <w:drawing>
          <wp:anchor distT="0" distB="0" distL="114300" distR="114300" simplePos="0" relativeHeight="251659776" behindDoc="1" locked="0" layoutInCell="1" allowOverlap="1" wp14:anchorId="061A89E2" wp14:editId="432858FA">
            <wp:simplePos x="0" y="0"/>
            <wp:positionH relativeFrom="margin">
              <wp:align>center</wp:align>
            </wp:positionH>
            <wp:positionV relativeFrom="paragraph">
              <wp:posOffset>92710</wp:posOffset>
            </wp:positionV>
            <wp:extent cx="4816475" cy="3907395"/>
            <wp:effectExtent l="0" t="0" r="3175" b="0"/>
            <wp:wrapNone/>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16475" cy="3907395"/>
                    </a:xfrm>
                    <a:prstGeom prst="rect">
                      <a:avLst/>
                    </a:prstGeom>
                    <a:noFill/>
                  </pic:spPr>
                </pic:pic>
              </a:graphicData>
            </a:graphic>
            <wp14:sizeRelH relativeFrom="page">
              <wp14:pctWidth>0</wp14:pctWidth>
            </wp14:sizeRelH>
            <wp14:sizeRelV relativeFrom="page">
              <wp14:pctHeight>0</wp14:pctHeight>
            </wp14:sizeRelV>
          </wp:anchor>
        </w:drawing>
      </w:r>
    </w:p>
    <w:p w:rsidR="000A44F9" w:rsidRDefault="000A44F9" w:rsidP="00CB6D98">
      <w:pPr>
        <w:ind w:firstLine="360"/>
        <w:jc w:val="both"/>
        <w:rPr>
          <w:sz w:val="24"/>
          <w:szCs w:val="24"/>
          <w:lang w:val="es-ES"/>
        </w:rPr>
      </w:pPr>
    </w:p>
    <w:p w:rsidR="000A44F9" w:rsidRDefault="000A44F9" w:rsidP="00CB6D98">
      <w:pPr>
        <w:ind w:firstLine="360"/>
        <w:jc w:val="both"/>
        <w:rPr>
          <w:sz w:val="24"/>
          <w:szCs w:val="24"/>
          <w:lang w:val="es-ES"/>
        </w:rPr>
      </w:pPr>
    </w:p>
    <w:p w:rsidR="000A44F9" w:rsidRDefault="000A44F9" w:rsidP="00CB6D98">
      <w:pPr>
        <w:ind w:firstLine="360"/>
        <w:jc w:val="both"/>
        <w:rPr>
          <w:sz w:val="24"/>
          <w:szCs w:val="24"/>
          <w:lang w:val="es-ES"/>
        </w:rPr>
      </w:pPr>
    </w:p>
    <w:p w:rsidR="000A44F9" w:rsidRDefault="000A44F9" w:rsidP="00CB6D98">
      <w:pPr>
        <w:ind w:firstLine="360"/>
        <w:jc w:val="both"/>
        <w:rPr>
          <w:sz w:val="24"/>
          <w:szCs w:val="24"/>
          <w:lang w:val="es-ES"/>
        </w:rPr>
      </w:pPr>
    </w:p>
    <w:p w:rsidR="000A44F9" w:rsidRDefault="000A44F9" w:rsidP="00CB6D98">
      <w:pPr>
        <w:ind w:firstLine="360"/>
        <w:jc w:val="both"/>
        <w:rPr>
          <w:sz w:val="24"/>
          <w:szCs w:val="24"/>
          <w:lang w:val="es-ES"/>
        </w:rPr>
      </w:pPr>
    </w:p>
    <w:p w:rsidR="000A44F9" w:rsidRDefault="000A44F9" w:rsidP="00CB6D98">
      <w:pPr>
        <w:ind w:firstLine="360"/>
        <w:jc w:val="both"/>
        <w:rPr>
          <w:sz w:val="24"/>
          <w:szCs w:val="24"/>
          <w:lang w:val="es-ES"/>
        </w:rPr>
      </w:pPr>
    </w:p>
    <w:p w:rsidR="000A44F9" w:rsidRDefault="000A44F9" w:rsidP="00CB6D98">
      <w:pPr>
        <w:ind w:firstLine="360"/>
        <w:jc w:val="both"/>
        <w:rPr>
          <w:sz w:val="24"/>
          <w:szCs w:val="24"/>
          <w:lang w:val="es-ES"/>
        </w:rPr>
      </w:pPr>
    </w:p>
    <w:p w:rsidR="000A44F9" w:rsidRDefault="000A44F9" w:rsidP="00CB6D98">
      <w:pPr>
        <w:ind w:firstLine="360"/>
        <w:jc w:val="both"/>
        <w:rPr>
          <w:sz w:val="24"/>
          <w:szCs w:val="24"/>
          <w:lang w:val="es-ES"/>
        </w:rPr>
      </w:pPr>
    </w:p>
    <w:p w:rsidR="000A44F9" w:rsidRDefault="000A44F9" w:rsidP="00CB6D98">
      <w:pPr>
        <w:ind w:firstLine="360"/>
        <w:jc w:val="both"/>
        <w:rPr>
          <w:sz w:val="24"/>
          <w:szCs w:val="24"/>
          <w:lang w:val="es-ES"/>
        </w:rPr>
      </w:pPr>
    </w:p>
    <w:p w:rsidR="000A44F9" w:rsidRDefault="000A44F9" w:rsidP="00CB6D98">
      <w:pPr>
        <w:ind w:firstLine="360"/>
        <w:jc w:val="both"/>
        <w:rPr>
          <w:sz w:val="24"/>
          <w:szCs w:val="24"/>
          <w:lang w:val="es-ES"/>
        </w:rPr>
      </w:pPr>
    </w:p>
    <w:p w:rsidR="000A44F9" w:rsidRDefault="000A44F9" w:rsidP="00CB6D98">
      <w:pPr>
        <w:ind w:firstLine="360"/>
        <w:jc w:val="both"/>
        <w:rPr>
          <w:sz w:val="24"/>
          <w:szCs w:val="24"/>
          <w:lang w:val="es-ES"/>
        </w:rPr>
      </w:pPr>
    </w:p>
    <w:p w:rsidR="000A44F9" w:rsidRDefault="000A44F9" w:rsidP="00CB6D98">
      <w:pPr>
        <w:ind w:firstLine="360"/>
        <w:jc w:val="both"/>
        <w:rPr>
          <w:sz w:val="24"/>
          <w:szCs w:val="24"/>
          <w:lang w:val="es-ES"/>
        </w:rPr>
      </w:pPr>
    </w:p>
    <w:p w:rsidR="000A44F9" w:rsidRDefault="000A44F9" w:rsidP="00CB6D98">
      <w:pPr>
        <w:ind w:firstLine="360"/>
        <w:jc w:val="both"/>
        <w:rPr>
          <w:sz w:val="24"/>
          <w:szCs w:val="24"/>
          <w:lang w:val="es-ES"/>
        </w:rPr>
      </w:pPr>
    </w:p>
    <w:p w:rsidR="000A44F9" w:rsidRDefault="000A44F9" w:rsidP="00CB6D98">
      <w:pPr>
        <w:ind w:firstLine="360"/>
        <w:jc w:val="both"/>
        <w:rPr>
          <w:sz w:val="24"/>
          <w:szCs w:val="24"/>
          <w:lang w:val="es-ES"/>
        </w:rPr>
      </w:pPr>
    </w:p>
    <w:p w:rsidR="000A44F9" w:rsidRDefault="000A44F9" w:rsidP="00CB6D98">
      <w:pPr>
        <w:ind w:firstLine="360"/>
        <w:jc w:val="both"/>
        <w:rPr>
          <w:sz w:val="24"/>
          <w:szCs w:val="24"/>
          <w:lang w:val="es-ES"/>
        </w:rPr>
      </w:pPr>
    </w:p>
    <w:p w:rsidR="000A44F9" w:rsidRDefault="000A44F9" w:rsidP="00CB6D98">
      <w:pPr>
        <w:ind w:firstLine="360"/>
        <w:jc w:val="both"/>
        <w:rPr>
          <w:sz w:val="24"/>
          <w:szCs w:val="24"/>
          <w:lang w:val="es-ES"/>
        </w:rPr>
      </w:pPr>
    </w:p>
    <w:p w:rsidR="000A44F9" w:rsidRDefault="000A44F9" w:rsidP="00CB6D98">
      <w:pPr>
        <w:ind w:firstLine="360"/>
        <w:jc w:val="both"/>
        <w:rPr>
          <w:sz w:val="24"/>
          <w:szCs w:val="24"/>
          <w:lang w:val="es-ES"/>
        </w:rPr>
      </w:pPr>
    </w:p>
    <w:p w:rsidR="00D8341A" w:rsidRDefault="00D8341A" w:rsidP="00CB6D98">
      <w:pPr>
        <w:ind w:firstLine="360"/>
        <w:jc w:val="both"/>
        <w:rPr>
          <w:sz w:val="24"/>
          <w:szCs w:val="24"/>
          <w:lang w:val="es-ES"/>
        </w:rPr>
      </w:pPr>
    </w:p>
    <w:p w:rsidR="00D8341A" w:rsidRDefault="00D8341A" w:rsidP="00D8341A">
      <w:pPr>
        <w:jc w:val="both"/>
        <w:rPr>
          <w:sz w:val="24"/>
          <w:szCs w:val="24"/>
          <w:lang w:val="es-ES"/>
        </w:rPr>
      </w:pPr>
    </w:p>
    <w:p w:rsidR="000A44F9" w:rsidRDefault="000A44F9" w:rsidP="00CB6D98">
      <w:pPr>
        <w:ind w:firstLine="360"/>
        <w:jc w:val="both"/>
        <w:rPr>
          <w:sz w:val="24"/>
          <w:szCs w:val="24"/>
          <w:lang w:val="es-ES"/>
        </w:rPr>
      </w:pPr>
    </w:p>
    <w:p w:rsidR="007962BC" w:rsidRDefault="007962BC" w:rsidP="00855DDD">
      <w:pPr>
        <w:ind w:firstLine="360"/>
        <w:jc w:val="both"/>
        <w:rPr>
          <w:sz w:val="24"/>
          <w:szCs w:val="24"/>
          <w:lang w:val="es-ES"/>
        </w:rPr>
      </w:pPr>
    </w:p>
    <w:p w:rsidR="007962BC" w:rsidRDefault="007962BC" w:rsidP="00855DDD">
      <w:pPr>
        <w:ind w:firstLine="360"/>
        <w:jc w:val="both"/>
        <w:rPr>
          <w:sz w:val="24"/>
          <w:szCs w:val="24"/>
          <w:lang w:val="es-ES"/>
        </w:rPr>
      </w:pPr>
    </w:p>
    <w:p w:rsidR="007962BC" w:rsidRDefault="007962BC" w:rsidP="00855DDD">
      <w:pPr>
        <w:ind w:firstLine="360"/>
        <w:jc w:val="both"/>
        <w:rPr>
          <w:sz w:val="24"/>
          <w:szCs w:val="24"/>
          <w:lang w:val="es-ES"/>
        </w:rPr>
      </w:pPr>
    </w:p>
    <w:p w:rsidR="007962BC" w:rsidRDefault="007962BC" w:rsidP="00855DDD">
      <w:pPr>
        <w:ind w:firstLine="360"/>
        <w:jc w:val="both"/>
        <w:rPr>
          <w:sz w:val="24"/>
          <w:szCs w:val="24"/>
          <w:lang w:val="es-ES"/>
        </w:rPr>
      </w:pPr>
    </w:p>
    <w:p w:rsidR="0038362F" w:rsidRDefault="00C81660" w:rsidP="007962BC">
      <w:pPr>
        <w:ind w:firstLine="360"/>
        <w:jc w:val="both"/>
        <w:rPr>
          <w:sz w:val="24"/>
          <w:szCs w:val="24"/>
          <w:lang w:val="es-ES"/>
        </w:rPr>
      </w:pPr>
      <w:r>
        <w:rPr>
          <w:sz w:val="24"/>
          <w:szCs w:val="24"/>
          <w:lang w:val="es-ES"/>
        </w:rPr>
        <w:t xml:space="preserve">El </w:t>
      </w:r>
      <w:r w:rsidR="00855DDD">
        <w:rPr>
          <w:sz w:val="24"/>
          <w:szCs w:val="24"/>
          <w:lang w:val="es-ES"/>
        </w:rPr>
        <w:t>orden de las líneas de trabajo verticales</w:t>
      </w:r>
      <w:r w:rsidR="009D7821">
        <w:rPr>
          <w:sz w:val="24"/>
          <w:szCs w:val="24"/>
          <w:lang w:val="es-ES"/>
        </w:rPr>
        <w:t xml:space="preserve"> del organigrama</w:t>
      </w:r>
      <w:r w:rsidR="00855DDD">
        <w:rPr>
          <w:sz w:val="24"/>
          <w:szCs w:val="24"/>
          <w:lang w:val="es-ES"/>
        </w:rPr>
        <w:t xml:space="preserve"> tiene una relación cíclica entre sí</w:t>
      </w:r>
      <w:r w:rsidR="007962BC">
        <w:rPr>
          <w:sz w:val="24"/>
          <w:szCs w:val="24"/>
          <w:lang w:val="es-ES"/>
        </w:rPr>
        <w:t xml:space="preserve"> (ver gráfico No. 2)</w:t>
      </w:r>
      <w:r w:rsidR="00855DDD">
        <w:rPr>
          <w:sz w:val="24"/>
          <w:szCs w:val="24"/>
          <w:lang w:val="es-ES"/>
        </w:rPr>
        <w:t xml:space="preserve">. Primero, se llevará a cabo la articulación del Ministerio Público. Segundo, a partir de los </w:t>
      </w:r>
      <w:r w:rsidR="009D7821">
        <w:rPr>
          <w:sz w:val="24"/>
          <w:szCs w:val="24"/>
          <w:lang w:val="es-ES"/>
        </w:rPr>
        <w:t>i</w:t>
      </w:r>
      <w:r w:rsidR="00855DDD">
        <w:rPr>
          <w:sz w:val="24"/>
          <w:szCs w:val="24"/>
          <w:lang w:val="es-ES"/>
        </w:rPr>
        <w:t xml:space="preserve">nformes de las decisiones de tutelas y de normatividad correspondientes se busca tener claridad sobre </w:t>
      </w:r>
      <w:r w:rsidR="009D7821">
        <w:rPr>
          <w:sz w:val="24"/>
          <w:szCs w:val="24"/>
          <w:lang w:val="es-ES"/>
        </w:rPr>
        <w:t xml:space="preserve">la </w:t>
      </w:r>
      <w:r w:rsidR="00855DDD">
        <w:rPr>
          <w:sz w:val="24"/>
          <w:szCs w:val="24"/>
          <w:lang w:val="es-ES"/>
        </w:rPr>
        <w:t xml:space="preserve">aplicación de la Ley así como un mayor conocimiento sobre la situación real en materia de la garantía de acceso a la información pública (indicadores de impacto). Tercero, según los análisis anteriores, la unidad de Vigilancia y Seguimiento a Sujetos Obligados podrá enfocar sus esfuerzos </w:t>
      </w:r>
      <w:r w:rsidR="0038362F">
        <w:rPr>
          <w:sz w:val="24"/>
          <w:szCs w:val="24"/>
          <w:lang w:val="es-ES"/>
        </w:rPr>
        <w:t xml:space="preserve">en aquellas entidades </w:t>
      </w:r>
      <w:r w:rsidR="00855DDD">
        <w:rPr>
          <w:sz w:val="24"/>
          <w:szCs w:val="24"/>
          <w:lang w:val="es-ES"/>
        </w:rPr>
        <w:t xml:space="preserve">donde la situación de acceso a la información presente los niveles más críticos. </w:t>
      </w:r>
      <w:r w:rsidR="0038362F">
        <w:rPr>
          <w:sz w:val="24"/>
          <w:szCs w:val="24"/>
          <w:lang w:val="es-ES"/>
        </w:rPr>
        <w:t>E</w:t>
      </w:r>
      <w:r w:rsidR="00855DDD">
        <w:rPr>
          <w:sz w:val="24"/>
          <w:szCs w:val="24"/>
          <w:lang w:val="es-ES"/>
        </w:rPr>
        <w:t xml:space="preserve">n cuarto lugar, las actividades de capacitación y promoción de la Ley </w:t>
      </w:r>
      <w:r w:rsidR="0038362F">
        <w:rPr>
          <w:sz w:val="24"/>
          <w:szCs w:val="24"/>
          <w:lang w:val="es-ES"/>
        </w:rPr>
        <w:t xml:space="preserve">se destinarán </w:t>
      </w:r>
      <w:r w:rsidR="00855DDD">
        <w:rPr>
          <w:sz w:val="24"/>
          <w:szCs w:val="24"/>
          <w:lang w:val="es-ES"/>
        </w:rPr>
        <w:t>particularmente a genera</w:t>
      </w:r>
      <w:r w:rsidR="0038362F">
        <w:rPr>
          <w:sz w:val="24"/>
          <w:szCs w:val="24"/>
          <w:lang w:val="es-ES"/>
        </w:rPr>
        <w:t>r</w:t>
      </w:r>
      <w:r w:rsidR="00855DDD">
        <w:rPr>
          <w:sz w:val="24"/>
          <w:szCs w:val="24"/>
          <w:lang w:val="es-ES"/>
        </w:rPr>
        <w:t xml:space="preserve"> capacidades en la ciudadanía y en los sujetos obligados con el fin de mejorar el nivel de acceso a la información pública y de cumplimiento de la Ley.</w:t>
      </w:r>
      <w:r w:rsidR="00F62350">
        <w:rPr>
          <w:sz w:val="24"/>
          <w:szCs w:val="24"/>
          <w:lang w:val="es-ES"/>
        </w:rPr>
        <w:t xml:space="preserve"> Se busca que las actividades de capacitación sean a la medida y por resultados basadas particularmente en los análisis de vigilancia.</w:t>
      </w:r>
      <w:r w:rsidR="00855DDD">
        <w:rPr>
          <w:sz w:val="24"/>
          <w:szCs w:val="24"/>
          <w:lang w:val="es-ES"/>
        </w:rPr>
        <w:t xml:space="preserve"> </w:t>
      </w:r>
      <w:r w:rsidR="0038362F">
        <w:rPr>
          <w:sz w:val="24"/>
          <w:szCs w:val="24"/>
          <w:lang w:val="es-ES"/>
        </w:rPr>
        <w:t>Por último y en qui</w:t>
      </w:r>
      <w:r>
        <w:rPr>
          <w:sz w:val="24"/>
          <w:szCs w:val="24"/>
          <w:lang w:val="es-ES"/>
        </w:rPr>
        <w:t>n</w:t>
      </w:r>
      <w:r w:rsidR="0038362F">
        <w:rPr>
          <w:sz w:val="24"/>
          <w:szCs w:val="24"/>
          <w:lang w:val="es-ES"/>
        </w:rPr>
        <w:t xml:space="preserve">to lugar, </w:t>
      </w:r>
      <w:r w:rsidR="0038362F">
        <w:rPr>
          <w:sz w:val="24"/>
          <w:szCs w:val="24"/>
          <w:lang w:val="es-ES"/>
        </w:rPr>
        <w:lastRenderedPageBreak/>
        <w:t xml:space="preserve">se crea una unidad encargada del procedimiento de solicitud de información con identificación reservada. </w:t>
      </w:r>
      <w:bookmarkStart w:id="1" w:name="_GoBack"/>
      <w:bookmarkEnd w:id="1"/>
    </w:p>
    <w:p w:rsidR="007962BC" w:rsidRDefault="007962BC" w:rsidP="00855DDD">
      <w:pPr>
        <w:ind w:firstLine="360"/>
        <w:jc w:val="both"/>
        <w:rPr>
          <w:sz w:val="24"/>
          <w:szCs w:val="24"/>
          <w:lang w:val="es-ES"/>
        </w:rPr>
      </w:pPr>
    </w:p>
    <w:p w:rsidR="007962BC" w:rsidRDefault="007962BC" w:rsidP="00855DDD">
      <w:pPr>
        <w:ind w:firstLine="360"/>
        <w:jc w:val="both"/>
        <w:rPr>
          <w:sz w:val="24"/>
          <w:szCs w:val="24"/>
          <w:lang w:val="es-ES"/>
        </w:rPr>
      </w:pPr>
      <w:r w:rsidRPr="007962BC">
        <w:rPr>
          <w:noProof/>
          <w:sz w:val="24"/>
          <w:szCs w:val="24"/>
          <w:lang w:val="es-ES"/>
        </w:rPr>
        <mc:AlternateContent>
          <mc:Choice Requires="wps">
            <w:drawing>
              <wp:anchor distT="45720" distB="45720" distL="114300" distR="114300" simplePos="0" relativeHeight="251665920" behindDoc="0" locked="0" layoutInCell="1" allowOverlap="1" wp14:anchorId="6275D7C5" wp14:editId="5DE38F89">
                <wp:simplePos x="0" y="0"/>
                <wp:positionH relativeFrom="margin">
                  <wp:align>center</wp:align>
                </wp:positionH>
                <wp:positionV relativeFrom="paragraph">
                  <wp:posOffset>7620</wp:posOffset>
                </wp:positionV>
                <wp:extent cx="2360930" cy="22860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8600"/>
                        </a:xfrm>
                        <a:prstGeom prst="rect">
                          <a:avLst/>
                        </a:prstGeom>
                        <a:solidFill>
                          <a:srgbClr val="FFFFFF"/>
                        </a:solidFill>
                        <a:ln w="9525">
                          <a:noFill/>
                          <a:miter lim="800000"/>
                          <a:headEnd/>
                          <a:tailEnd/>
                        </a:ln>
                      </wps:spPr>
                      <wps:txbx>
                        <w:txbxContent>
                          <w:p w:rsidR="007962BC" w:rsidRPr="007962BC" w:rsidRDefault="007962BC" w:rsidP="007962BC">
                            <w:pPr>
                              <w:ind w:firstLine="360"/>
                              <w:jc w:val="center"/>
                              <w:rPr>
                                <w:b/>
                                <w:sz w:val="24"/>
                                <w:szCs w:val="24"/>
                                <w:lang w:val="es-ES"/>
                              </w:rPr>
                            </w:pPr>
                            <w:r w:rsidRPr="007962BC">
                              <w:rPr>
                                <w:b/>
                                <w:sz w:val="24"/>
                                <w:szCs w:val="24"/>
                                <w:lang w:val="es-ES"/>
                              </w:rPr>
                              <w:t>G</w:t>
                            </w:r>
                            <w:r>
                              <w:rPr>
                                <w:b/>
                                <w:sz w:val="24"/>
                                <w:szCs w:val="24"/>
                                <w:lang w:val="es-ES"/>
                              </w:rPr>
                              <w:t>ráfico No. 2</w:t>
                            </w:r>
                          </w:p>
                          <w:p w:rsidR="007962BC" w:rsidRPr="007962BC" w:rsidRDefault="007962BC" w:rsidP="007962BC">
                            <w:pPr>
                              <w:rPr>
                                <w:lang w:val="es-CO"/>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275D7C5" id="_x0000_s1028" type="#_x0000_t202" style="position:absolute;left:0;text-align:left;margin-left:0;margin-top:.6pt;width:185.9pt;height:18pt;z-index:251665920;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" stroked="f">
                <v:textbox>
                  <w:txbxContent>
                    <w:p w:rsidR="007962BC" w:rsidRPr="007962BC" w:rsidRDefault="007962BC" w:rsidP="007962BC">
                      <w:pPr>
                        <w:ind w:firstLine="360"/>
                        <w:jc w:val="center"/>
                        <w:rPr>
                          <w:b/>
                          <w:sz w:val="24"/>
                          <w:szCs w:val="24"/>
                          <w:lang w:val="es-ES"/>
                        </w:rPr>
                      </w:pPr>
                      <w:r w:rsidRPr="007962BC">
                        <w:rPr>
                          <w:b/>
                          <w:sz w:val="24"/>
                          <w:szCs w:val="24"/>
                          <w:lang w:val="es-ES"/>
                        </w:rPr>
                        <w:t>G</w:t>
                      </w:r>
                      <w:r>
                        <w:rPr>
                          <w:b/>
                          <w:sz w:val="24"/>
                          <w:szCs w:val="24"/>
                          <w:lang w:val="es-ES"/>
                        </w:rPr>
                        <w:t>ráfico No. 2</w:t>
                      </w:r>
                    </w:p>
                    <w:p w:rsidR="007962BC" w:rsidRPr="007962BC" w:rsidRDefault="007962BC" w:rsidP="007962BC">
                      <w:pPr>
                        <w:rPr>
                          <w:lang w:val="es-CO"/>
                        </w:rPr>
                      </w:pPr>
                    </w:p>
                  </w:txbxContent>
                </v:textbox>
                <w10:wrap type="square" anchorx="margin"/>
              </v:shape>
            </w:pict>
          </mc:Fallback>
        </mc:AlternateContent>
      </w:r>
    </w:p>
    <w:p w:rsidR="007962BC" w:rsidRDefault="007962BC" w:rsidP="007962BC">
      <w:pPr>
        <w:ind w:firstLine="360"/>
        <w:jc w:val="center"/>
        <w:rPr>
          <w:sz w:val="24"/>
          <w:szCs w:val="24"/>
          <w:lang w:val="es-ES"/>
        </w:rPr>
      </w:pPr>
      <w:r>
        <w:rPr>
          <w:noProof/>
          <w:sz w:val="24"/>
          <w:szCs w:val="24"/>
          <w:lang w:val="es-CO" w:eastAsia="es-CO" w:bidi="ar-SA"/>
        </w:rPr>
        <w:drawing>
          <wp:inline distT="0" distB="0" distL="0" distR="0" wp14:anchorId="5F77BF6E">
            <wp:extent cx="4570255" cy="30003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5545" cy="3003848"/>
                    </a:xfrm>
                    <a:prstGeom prst="rect">
                      <a:avLst/>
                    </a:prstGeom>
                    <a:noFill/>
                  </pic:spPr>
                </pic:pic>
              </a:graphicData>
            </a:graphic>
          </wp:inline>
        </w:drawing>
      </w:r>
    </w:p>
    <w:p w:rsidR="007962BC" w:rsidRDefault="007962BC" w:rsidP="00855DDD">
      <w:pPr>
        <w:ind w:firstLine="360"/>
        <w:jc w:val="both"/>
        <w:rPr>
          <w:sz w:val="24"/>
          <w:szCs w:val="24"/>
          <w:lang w:val="es-ES"/>
        </w:rPr>
      </w:pPr>
    </w:p>
    <w:p w:rsidR="007962BC" w:rsidRDefault="007962BC" w:rsidP="00855DDD">
      <w:pPr>
        <w:ind w:firstLine="360"/>
        <w:jc w:val="both"/>
        <w:rPr>
          <w:sz w:val="24"/>
          <w:szCs w:val="24"/>
          <w:lang w:val="es-ES"/>
        </w:rPr>
      </w:pPr>
    </w:p>
    <w:p w:rsidR="006F0D56" w:rsidRDefault="0038362F" w:rsidP="00855DDD">
      <w:pPr>
        <w:ind w:firstLine="360"/>
        <w:jc w:val="both"/>
        <w:rPr>
          <w:sz w:val="24"/>
          <w:szCs w:val="24"/>
          <w:lang w:val="es-ES"/>
        </w:rPr>
      </w:pPr>
      <w:r>
        <w:rPr>
          <w:sz w:val="24"/>
          <w:szCs w:val="24"/>
          <w:lang w:val="es-ES"/>
        </w:rPr>
        <w:t>Las lín</w:t>
      </w:r>
      <w:r w:rsidR="00F62350">
        <w:rPr>
          <w:sz w:val="24"/>
          <w:szCs w:val="24"/>
          <w:lang w:val="es-ES"/>
        </w:rPr>
        <w:t xml:space="preserve">eas de trabajo verticales son </w:t>
      </w:r>
      <w:r>
        <w:rPr>
          <w:sz w:val="24"/>
          <w:szCs w:val="24"/>
          <w:lang w:val="es-ES"/>
        </w:rPr>
        <w:t xml:space="preserve">apoyadas por líneas de </w:t>
      </w:r>
      <w:r w:rsidR="007962BC">
        <w:rPr>
          <w:sz w:val="24"/>
          <w:szCs w:val="24"/>
          <w:lang w:val="es-ES"/>
        </w:rPr>
        <w:t>trabajos transversales u horizontales</w:t>
      </w:r>
      <w:r>
        <w:rPr>
          <w:sz w:val="24"/>
          <w:szCs w:val="24"/>
          <w:lang w:val="es-ES"/>
        </w:rPr>
        <w:t xml:space="preserve">. La línea jurídica se encarga de las orientaciones a sujetos obligados o ciudadanía así como el soporte técnico de las decisiones del GTDAIP. La línea de comunicaciones tiene como función el diseño e implementación de la estrategia de divulgación de las actividades del GTDAIP. La línea de sistemas de información brinda asesoría y apoyo en materia técnica y operativa en lo concerniente con asuntos de tecnología y sistemas. La Línea de relaciones internacional mantiene una relación con las instancias internacionales de cooperación. Por último, la línea de Planeación y Seguimiento realiza el monitoreo </w:t>
      </w:r>
      <w:r w:rsidR="007D6C9C">
        <w:rPr>
          <w:sz w:val="24"/>
          <w:szCs w:val="24"/>
          <w:lang w:val="es-ES"/>
        </w:rPr>
        <w:t>de los planes diseñados por parte del GTDAIP.</w:t>
      </w:r>
    </w:p>
    <w:p w:rsidR="004F3C93" w:rsidRDefault="004F3C93" w:rsidP="00855DDD">
      <w:pPr>
        <w:ind w:firstLine="360"/>
        <w:jc w:val="both"/>
        <w:rPr>
          <w:sz w:val="24"/>
          <w:szCs w:val="24"/>
          <w:lang w:val="es-ES"/>
        </w:rPr>
      </w:pPr>
    </w:p>
    <w:p w:rsidR="00515B5F" w:rsidRDefault="006D6B68" w:rsidP="00855DDD">
      <w:pPr>
        <w:ind w:firstLine="360"/>
        <w:jc w:val="both"/>
        <w:rPr>
          <w:sz w:val="24"/>
          <w:szCs w:val="24"/>
          <w:lang w:val="es-ES"/>
        </w:rPr>
      </w:pPr>
      <w:r>
        <w:rPr>
          <w:sz w:val="24"/>
          <w:szCs w:val="24"/>
          <w:lang w:val="es-ES"/>
        </w:rPr>
        <w:t>Para el correcto desempeño de las líneas de trabajo del Grupo</w:t>
      </w:r>
      <w:r w:rsidR="004F3C93">
        <w:rPr>
          <w:sz w:val="24"/>
          <w:szCs w:val="24"/>
          <w:lang w:val="es-ES"/>
        </w:rPr>
        <w:t xml:space="preserve">, se </w:t>
      </w:r>
      <w:r>
        <w:rPr>
          <w:sz w:val="24"/>
          <w:szCs w:val="24"/>
          <w:lang w:val="es-ES"/>
        </w:rPr>
        <w:t>diseñ</w:t>
      </w:r>
      <w:r w:rsidR="004F3C93">
        <w:rPr>
          <w:sz w:val="24"/>
          <w:szCs w:val="24"/>
          <w:lang w:val="es-ES"/>
        </w:rPr>
        <w:t>aron</w:t>
      </w:r>
      <w:r>
        <w:rPr>
          <w:sz w:val="24"/>
          <w:szCs w:val="24"/>
          <w:lang w:val="es-ES"/>
        </w:rPr>
        <w:t xml:space="preserve"> 6 procedimientos que están en trámite de aprobación (1. </w:t>
      </w:r>
      <w:r w:rsidR="004F3C93">
        <w:rPr>
          <w:sz w:val="24"/>
          <w:szCs w:val="24"/>
          <w:lang w:val="es-ES"/>
        </w:rPr>
        <w:t>Trá</w:t>
      </w:r>
      <w:r w:rsidR="00515B5F">
        <w:rPr>
          <w:sz w:val="24"/>
          <w:szCs w:val="24"/>
          <w:lang w:val="es-ES"/>
        </w:rPr>
        <w:t>mite del p</w:t>
      </w:r>
      <w:r>
        <w:rPr>
          <w:sz w:val="24"/>
          <w:szCs w:val="24"/>
          <w:lang w:val="es-ES"/>
        </w:rPr>
        <w:t>rocedimiento especial de solicitud de información con identificación reservada</w:t>
      </w:r>
      <w:r w:rsidR="00F62350">
        <w:rPr>
          <w:sz w:val="24"/>
          <w:szCs w:val="24"/>
          <w:lang w:val="es-ES"/>
        </w:rPr>
        <w:t xml:space="preserve"> por parte del </w:t>
      </w:r>
      <w:r w:rsidR="00515B5F">
        <w:rPr>
          <w:sz w:val="24"/>
          <w:szCs w:val="24"/>
          <w:lang w:val="es-ES"/>
        </w:rPr>
        <w:t>GTDAIP</w:t>
      </w:r>
      <w:r>
        <w:rPr>
          <w:sz w:val="24"/>
          <w:szCs w:val="24"/>
          <w:lang w:val="es-ES"/>
        </w:rPr>
        <w:t>; 2.</w:t>
      </w:r>
      <w:r w:rsidR="004F3C93">
        <w:rPr>
          <w:sz w:val="24"/>
          <w:szCs w:val="24"/>
          <w:lang w:val="es-ES"/>
        </w:rPr>
        <w:t xml:space="preserve"> </w:t>
      </w:r>
      <w:r w:rsidR="00515B5F">
        <w:rPr>
          <w:sz w:val="24"/>
          <w:szCs w:val="24"/>
          <w:lang w:val="es-ES"/>
        </w:rPr>
        <w:t>Trámite del procedimiento especial de solicitud de informaci</w:t>
      </w:r>
      <w:r w:rsidR="00F62350">
        <w:rPr>
          <w:sz w:val="24"/>
          <w:szCs w:val="24"/>
          <w:lang w:val="es-ES"/>
        </w:rPr>
        <w:t xml:space="preserve">ón con identificación reservada por parte de las entidades del </w:t>
      </w:r>
      <w:r w:rsidR="00515B5F">
        <w:rPr>
          <w:sz w:val="24"/>
          <w:szCs w:val="24"/>
          <w:lang w:val="es-ES"/>
        </w:rPr>
        <w:t>Ministerio Público; 3</w:t>
      </w:r>
      <w:r>
        <w:rPr>
          <w:sz w:val="24"/>
          <w:szCs w:val="24"/>
          <w:lang w:val="es-ES"/>
        </w:rPr>
        <w:t>.</w:t>
      </w:r>
      <w:r w:rsidR="00515B5F">
        <w:rPr>
          <w:sz w:val="24"/>
          <w:szCs w:val="24"/>
          <w:lang w:val="es-ES"/>
        </w:rPr>
        <w:t xml:space="preserve"> </w:t>
      </w:r>
      <w:r>
        <w:rPr>
          <w:sz w:val="24"/>
          <w:szCs w:val="24"/>
          <w:lang w:val="es-ES"/>
        </w:rPr>
        <w:t xml:space="preserve">Comunicación masiva a través de email; </w:t>
      </w:r>
      <w:r w:rsidR="00515B5F">
        <w:rPr>
          <w:sz w:val="24"/>
          <w:szCs w:val="24"/>
          <w:lang w:val="es-ES"/>
        </w:rPr>
        <w:t>4</w:t>
      </w:r>
      <w:r>
        <w:rPr>
          <w:sz w:val="24"/>
          <w:szCs w:val="24"/>
          <w:lang w:val="es-ES"/>
        </w:rPr>
        <w:t>. Respuesta a consultas, peticiones o solicitudes de información relacionadas con el GTDAIP</w:t>
      </w:r>
      <w:r w:rsidR="00515B5F">
        <w:rPr>
          <w:sz w:val="24"/>
          <w:szCs w:val="24"/>
          <w:lang w:val="es-ES"/>
        </w:rPr>
        <w:t>; 5</w:t>
      </w:r>
      <w:r>
        <w:rPr>
          <w:sz w:val="24"/>
          <w:szCs w:val="24"/>
          <w:lang w:val="es-ES"/>
        </w:rPr>
        <w:t>.</w:t>
      </w:r>
      <w:r w:rsidR="00515B5F">
        <w:rPr>
          <w:sz w:val="24"/>
          <w:szCs w:val="24"/>
          <w:lang w:val="es-ES"/>
        </w:rPr>
        <w:t xml:space="preserve"> Realización de</w:t>
      </w:r>
      <w:r>
        <w:rPr>
          <w:sz w:val="24"/>
          <w:szCs w:val="24"/>
          <w:lang w:val="es-ES"/>
        </w:rPr>
        <w:t xml:space="preserve"> </w:t>
      </w:r>
      <w:r w:rsidR="00515B5F">
        <w:rPr>
          <w:sz w:val="24"/>
          <w:szCs w:val="24"/>
          <w:lang w:val="es-ES"/>
        </w:rPr>
        <w:t>informes de v</w:t>
      </w:r>
      <w:r>
        <w:rPr>
          <w:sz w:val="24"/>
          <w:szCs w:val="24"/>
          <w:lang w:val="es-ES"/>
        </w:rPr>
        <w:t xml:space="preserve">igilancia y </w:t>
      </w:r>
      <w:r w:rsidR="00515B5F">
        <w:rPr>
          <w:sz w:val="24"/>
          <w:szCs w:val="24"/>
          <w:lang w:val="es-ES"/>
        </w:rPr>
        <w:t>s</w:t>
      </w:r>
      <w:r w:rsidR="00C21B02">
        <w:rPr>
          <w:sz w:val="24"/>
          <w:szCs w:val="24"/>
          <w:lang w:val="es-ES"/>
        </w:rPr>
        <w:t>eguimiento</w:t>
      </w:r>
      <w:r w:rsidR="00515B5F">
        <w:rPr>
          <w:sz w:val="24"/>
          <w:szCs w:val="24"/>
          <w:lang w:val="es-ES"/>
        </w:rPr>
        <w:t xml:space="preserve">; </w:t>
      </w:r>
      <w:r w:rsidR="004F3C93">
        <w:rPr>
          <w:sz w:val="24"/>
          <w:szCs w:val="24"/>
          <w:lang w:val="es-ES"/>
        </w:rPr>
        <w:t xml:space="preserve">y </w:t>
      </w:r>
      <w:r w:rsidR="00515B5F">
        <w:rPr>
          <w:sz w:val="24"/>
          <w:szCs w:val="24"/>
          <w:lang w:val="es-ES"/>
        </w:rPr>
        <w:t>6. Aprobación y firma de la Viceprocuradora General de la Nación y Coordinadora del Grupo).</w:t>
      </w:r>
      <w:r w:rsidR="00C47131">
        <w:rPr>
          <w:sz w:val="24"/>
          <w:szCs w:val="24"/>
          <w:lang w:val="es-ES"/>
        </w:rPr>
        <w:t xml:space="preserve"> Asimismo, </w:t>
      </w:r>
      <w:r w:rsidR="00CC2294">
        <w:rPr>
          <w:sz w:val="24"/>
          <w:szCs w:val="24"/>
          <w:lang w:val="es-ES"/>
        </w:rPr>
        <w:t>se elaboraron las Tablas de Retención Documental del GTDAIP las cuales igualmente están en trámite de aprobación.</w:t>
      </w:r>
    </w:p>
    <w:p w:rsidR="00515B5F" w:rsidRDefault="00515B5F" w:rsidP="00855DDD">
      <w:pPr>
        <w:ind w:firstLine="360"/>
        <w:jc w:val="both"/>
        <w:rPr>
          <w:sz w:val="24"/>
          <w:szCs w:val="24"/>
          <w:lang w:val="es-ES"/>
        </w:rPr>
      </w:pPr>
    </w:p>
    <w:p w:rsidR="007D6C9C" w:rsidRDefault="006D6B68" w:rsidP="00515B5F">
      <w:pPr>
        <w:ind w:firstLine="360"/>
        <w:jc w:val="both"/>
        <w:rPr>
          <w:sz w:val="24"/>
          <w:szCs w:val="24"/>
          <w:lang w:val="es-ES"/>
        </w:rPr>
      </w:pPr>
      <w:r>
        <w:rPr>
          <w:sz w:val="24"/>
          <w:szCs w:val="24"/>
          <w:lang w:val="es-ES"/>
        </w:rPr>
        <w:t xml:space="preserve"> </w:t>
      </w:r>
    </w:p>
    <w:p w:rsidR="006F0D56" w:rsidRDefault="006F0D56" w:rsidP="00CB6D98">
      <w:pPr>
        <w:ind w:firstLine="360"/>
        <w:jc w:val="both"/>
        <w:rPr>
          <w:sz w:val="24"/>
          <w:szCs w:val="24"/>
          <w:lang w:val="es-ES"/>
        </w:rPr>
      </w:pPr>
    </w:p>
    <w:p w:rsidR="00515B5F" w:rsidRPr="00515B5F" w:rsidRDefault="007962BC" w:rsidP="00515B5F">
      <w:pPr>
        <w:keepNext/>
        <w:keepLines/>
        <w:pBdr>
          <w:top w:val="single" w:sz="6" w:space="6" w:color="808080"/>
          <w:bottom w:val="single" w:sz="6" w:space="6" w:color="808080"/>
        </w:pBdr>
        <w:spacing w:after="240" w:line="240" w:lineRule="atLeast"/>
        <w:jc w:val="center"/>
        <w:outlineLvl w:val="0"/>
        <w:rPr>
          <w:rFonts w:cs="Times New Roman"/>
          <w:b/>
          <w:caps/>
          <w:spacing w:val="20"/>
          <w:kern w:val="16"/>
          <w:sz w:val="24"/>
          <w:szCs w:val="24"/>
          <w:lang w:val="es-ES"/>
        </w:rPr>
      </w:pPr>
      <w:r>
        <w:rPr>
          <w:rFonts w:cs="Times New Roman"/>
          <w:b/>
          <w:caps/>
          <w:spacing w:val="20"/>
          <w:kern w:val="16"/>
          <w:sz w:val="24"/>
          <w:szCs w:val="24"/>
          <w:lang w:val="es-ES"/>
        </w:rPr>
        <w:t>2</w:t>
      </w:r>
      <w:r w:rsidR="00515B5F" w:rsidRPr="00515B5F">
        <w:rPr>
          <w:rFonts w:cs="Times New Roman"/>
          <w:b/>
          <w:caps/>
          <w:spacing w:val="20"/>
          <w:kern w:val="16"/>
          <w:sz w:val="24"/>
          <w:szCs w:val="24"/>
          <w:lang w:val="es-ES"/>
        </w:rPr>
        <w:t xml:space="preserve">. </w:t>
      </w:r>
      <w:r w:rsidR="00515B5F">
        <w:rPr>
          <w:rFonts w:cs="Times New Roman"/>
          <w:b/>
          <w:caps/>
          <w:spacing w:val="20"/>
          <w:kern w:val="16"/>
          <w:sz w:val="24"/>
          <w:szCs w:val="24"/>
          <w:lang w:val="es-ES"/>
        </w:rPr>
        <w:t>PRINCIPALES RESULTADOS DE CADA LÍNEA DE TRABAJO</w:t>
      </w:r>
      <w:r w:rsidR="00515B5F" w:rsidRPr="00515B5F">
        <w:rPr>
          <w:rFonts w:cs="Times New Roman"/>
          <w:b/>
          <w:caps/>
          <w:spacing w:val="20"/>
          <w:kern w:val="16"/>
          <w:sz w:val="24"/>
          <w:szCs w:val="24"/>
          <w:lang w:val="es-ES"/>
        </w:rPr>
        <w:t xml:space="preserve"> </w:t>
      </w:r>
    </w:p>
    <w:p w:rsidR="003E0D67" w:rsidRDefault="005542C6" w:rsidP="003E0D67">
      <w:pPr>
        <w:ind w:firstLine="360"/>
        <w:jc w:val="both"/>
        <w:rPr>
          <w:sz w:val="24"/>
          <w:szCs w:val="24"/>
          <w:lang w:val="es-CO"/>
        </w:rPr>
      </w:pPr>
      <w:r>
        <w:rPr>
          <w:b/>
          <w:sz w:val="24"/>
          <w:szCs w:val="24"/>
          <w:lang w:val="es-ES"/>
        </w:rPr>
        <w:t>2</w:t>
      </w:r>
      <w:r w:rsidR="00571C40" w:rsidRPr="00571C40">
        <w:rPr>
          <w:b/>
          <w:sz w:val="24"/>
          <w:szCs w:val="24"/>
          <w:lang w:val="es-ES"/>
        </w:rPr>
        <w:t xml:space="preserve">.1. </w:t>
      </w:r>
      <w:r w:rsidR="00571C40">
        <w:rPr>
          <w:b/>
          <w:sz w:val="24"/>
          <w:szCs w:val="24"/>
          <w:lang w:val="es-ES"/>
        </w:rPr>
        <w:t>Articulación del Ministerio Público</w:t>
      </w:r>
      <w:r w:rsidR="00571C40" w:rsidRPr="003E0D67">
        <w:rPr>
          <w:sz w:val="24"/>
          <w:szCs w:val="24"/>
          <w:lang w:val="es-ES"/>
        </w:rPr>
        <w:t xml:space="preserve">. </w:t>
      </w:r>
      <w:r w:rsidR="003E0D67" w:rsidRPr="003E0D67">
        <w:rPr>
          <w:sz w:val="24"/>
          <w:szCs w:val="24"/>
          <w:lang w:val="es-ES"/>
        </w:rPr>
        <w:t>A raíz de</w:t>
      </w:r>
      <w:r w:rsidR="003E0D67" w:rsidRPr="003E0D67">
        <w:rPr>
          <w:sz w:val="24"/>
          <w:szCs w:val="24"/>
          <w:lang w:val="es-CO"/>
        </w:rPr>
        <w:t xml:space="preserve"> la expedición de la Resolución 282 de 2014 se </w:t>
      </w:r>
      <w:r w:rsidR="005D223A">
        <w:rPr>
          <w:sz w:val="24"/>
          <w:szCs w:val="24"/>
          <w:lang w:val="es-CO"/>
        </w:rPr>
        <w:t xml:space="preserve">llevaron </w:t>
      </w:r>
      <w:r w:rsidR="003E0D67" w:rsidRPr="003E0D67">
        <w:rPr>
          <w:sz w:val="24"/>
          <w:szCs w:val="24"/>
          <w:lang w:val="es-CO"/>
        </w:rPr>
        <w:t>a c</w:t>
      </w:r>
      <w:r w:rsidR="003E0D67">
        <w:rPr>
          <w:sz w:val="24"/>
          <w:szCs w:val="24"/>
          <w:lang w:val="es-CO"/>
        </w:rPr>
        <w:t xml:space="preserve">abo </w:t>
      </w:r>
      <w:r w:rsidR="00FA04E0">
        <w:rPr>
          <w:sz w:val="24"/>
          <w:szCs w:val="24"/>
          <w:lang w:val="es-CO"/>
        </w:rPr>
        <w:t xml:space="preserve">múltiples </w:t>
      </w:r>
      <w:r w:rsidR="003E0D67">
        <w:rPr>
          <w:sz w:val="24"/>
          <w:szCs w:val="24"/>
          <w:lang w:val="es-CO"/>
        </w:rPr>
        <w:t xml:space="preserve">reuniones con cada una de las entidades del Ministerio Público con el propósito de establecer canales de comunicación, acordar planes de acción y organizar la primera reunión del Comité de Transparencia y del Derecho de Acceso a la Información Pública. </w:t>
      </w:r>
      <w:r w:rsidR="00FA04E0">
        <w:rPr>
          <w:sz w:val="24"/>
          <w:szCs w:val="24"/>
          <w:lang w:val="es-CO"/>
        </w:rPr>
        <w:t xml:space="preserve">Actualmente, ya se cuenta con un borrador de </w:t>
      </w:r>
      <w:r w:rsidR="005D223A">
        <w:rPr>
          <w:sz w:val="24"/>
          <w:szCs w:val="24"/>
          <w:lang w:val="es-CO"/>
        </w:rPr>
        <w:t xml:space="preserve">un </w:t>
      </w:r>
      <w:r w:rsidR="00FA04E0">
        <w:rPr>
          <w:sz w:val="24"/>
          <w:szCs w:val="24"/>
          <w:lang w:val="es-CO"/>
        </w:rPr>
        <w:t>Plan de Acción</w:t>
      </w:r>
      <w:r w:rsidR="005D223A">
        <w:rPr>
          <w:sz w:val="24"/>
          <w:szCs w:val="24"/>
          <w:lang w:val="es-CO"/>
        </w:rPr>
        <w:t xml:space="preserve"> </w:t>
      </w:r>
      <w:r w:rsidR="00F62350">
        <w:rPr>
          <w:sz w:val="24"/>
          <w:szCs w:val="24"/>
          <w:lang w:val="es-CO"/>
        </w:rPr>
        <w:t xml:space="preserve">que </w:t>
      </w:r>
      <w:r w:rsidR="005D223A">
        <w:rPr>
          <w:sz w:val="24"/>
          <w:szCs w:val="24"/>
          <w:lang w:val="es-CO"/>
        </w:rPr>
        <w:t>articula las entidades del Ministerio Público</w:t>
      </w:r>
      <w:r w:rsidR="00FA04E0">
        <w:rPr>
          <w:sz w:val="24"/>
          <w:szCs w:val="24"/>
          <w:lang w:val="es-CO"/>
        </w:rPr>
        <w:t xml:space="preserve"> </w:t>
      </w:r>
      <w:r w:rsidR="00576EA2">
        <w:rPr>
          <w:sz w:val="24"/>
          <w:szCs w:val="24"/>
          <w:lang w:val="es-CO"/>
        </w:rPr>
        <w:t>y una fecha tentativa para el Comité.</w:t>
      </w:r>
      <w:r w:rsidR="005D223A">
        <w:rPr>
          <w:sz w:val="24"/>
          <w:szCs w:val="24"/>
          <w:lang w:val="es-CO"/>
        </w:rPr>
        <w:t xml:space="preserve"> Igualmente, se compartió entre las entidades del Minist</w:t>
      </w:r>
      <w:r w:rsidR="00F62350">
        <w:rPr>
          <w:sz w:val="24"/>
          <w:szCs w:val="24"/>
          <w:lang w:val="es-CO"/>
        </w:rPr>
        <w:t>erio Público un borrador de la Guía sobre el Derecho de Acceso a la Información P</w:t>
      </w:r>
      <w:r w:rsidR="005D223A">
        <w:rPr>
          <w:sz w:val="24"/>
          <w:szCs w:val="24"/>
          <w:lang w:val="es-CO"/>
        </w:rPr>
        <w:t>ública.</w:t>
      </w:r>
    </w:p>
    <w:p w:rsidR="003E0D67" w:rsidRPr="00576EA2" w:rsidRDefault="003E0D67" w:rsidP="003E0D67">
      <w:pPr>
        <w:ind w:firstLine="360"/>
        <w:jc w:val="both"/>
        <w:rPr>
          <w:b/>
          <w:sz w:val="24"/>
          <w:szCs w:val="24"/>
          <w:lang w:val="es-CO"/>
        </w:rPr>
      </w:pPr>
    </w:p>
    <w:p w:rsidR="005D223A" w:rsidRDefault="005542C6" w:rsidP="00FA04E0">
      <w:pPr>
        <w:ind w:firstLine="360"/>
        <w:jc w:val="both"/>
        <w:rPr>
          <w:sz w:val="24"/>
          <w:szCs w:val="24"/>
          <w:lang w:val="es-CO"/>
        </w:rPr>
      </w:pPr>
      <w:r>
        <w:rPr>
          <w:b/>
          <w:sz w:val="24"/>
          <w:szCs w:val="24"/>
          <w:lang w:val="es-ES"/>
        </w:rPr>
        <w:lastRenderedPageBreak/>
        <w:t>2</w:t>
      </w:r>
      <w:r w:rsidR="00FA04E0">
        <w:rPr>
          <w:b/>
          <w:sz w:val="24"/>
          <w:szCs w:val="24"/>
          <w:lang w:val="es-ES"/>
        </w:rPr>
        <w:t>.2</w:t>
      </w:r>
      <w:r w:rsidR="00FA04E0" w:rsidRPr="00571C40">
        <w:rPr>
          <w:b/>
          <w:sz w:val="24"/>
          <w:szCs w:val="24"/>
          <w:lang w:val="es-ES"/>
        </w:rPr>
        <w:t>.</w:t>
      </w:r>
      <w:r w:rsidR="005D223A">
        <w:rPr>
          <w:b/>
          <w:sz w:val="24"/>
          <w:szCs w:val="24"/>
          <w:lang w:val="es-ES"/>
        </w:rPr>
        <w:t xml:space="preserve"> </w:t>
      </w:r>
      <w:r w:rsidR="006A5670">
        <w:rPr>
          <w:b/>
          <w:sz w:val="24"/>
          <w:szCs w:val="24"/>
          <w:lang w:val="es-ES"/>
        </w:rPr>
        <w:t>I</w:t>
      </w:r>
      <w:r w:rsidR="005D223A">
        <w:rPr>
          <w:b/>
          <w:sz w:val="24"/>
          <w:szCs w:val="24"/>
          <w:lang w:val="es-ES"/>
        </w:rPr>
        <w:t>nformes de decisiones de tutela y normatividad</w:t>
      </w:r>
      <w:r w:rsidR="00FA04E0" w:rsidRPr="003E0D67">
        <w:rPr>
          <w:sz w:val="24"/>
          <w:szCs w:val="24"/>
          <w:lang w:val="es-ES"/>
        </w:rPr>
        <w:t xml:space="preserve">. </w:t>
      </w:r>
      <w:r w:rsidR="005D223A">
        <w:rPr>
          <w:sz w:val="24"/>
          <w:szCs w:val="24"/>
          <w:lang w:val="es-ES"/>
        </w:rPr>
        <w:t xml:space="preserve">Bajo esta línea de trabajo se conoció el informe </w:t>
      </w:r>
      <w:r w:rsidR="005D223A" w:rsidRPr="005D223A">
        <w:rPr>
          <w:sz w:val="24"/>
          <w:szCs w:val="24"/>
          <w:lang w:val="es-CO"/>
        </w:rPr>
        <w:t>“La tutela y el derecho a la salud” de la Defensoría del Pueblo,</w:t>
      </w:r>
      <w:r w:rsidR="005D223A">
        <w:rPr>
          <w:sz w:val="24"/>
          <w:szCs w:val="24"/>
          <w:lang w:val="es-CO"/>
        </w:rPr>
        <w:t xml:space="preserve"> el cual hace un breve análisis sobre la garantía del derecho de petición. De acuerdo a este informe,</w:t>
      </w:r>
      <w:r w:rsidR="005D223A" w:rsidRPr="005D223A">
        <w:rPr>
          <w:sz w:val="24"/>
          <w:szCs w:val="24"/>
          <w:lang w:val="es-CO"/>
        </w:rPr>
        <w:t xml:space="preserve"> en el 2013, 48% (218.656) de las 454.500 tutelas interpuestas en el país corresp</w:t>
      </w:r>
      <w:r w:rsidR="005D223A">
        <w:rPr>
          <w:sz w:val="24"/>
          <w:szCs w:val="24"/>
          <w:lang w:val="es-CO"/>
        </w:rPr>
        <w:t>ondieron al derecho de petición</w:t>
      </w:r>
      <w:r w:rsidR="007962BC">
        <w:rPr>
          <w:sz w:val="24"/>
          <w:szCs w:val="24"/>
          <w:lang w:val="es-CO"/>
        </w:rPr>
        <w:t xml:space="preserve"> (Ver anexo No. </w:t>
      </w:r>
      <w:r w:rsidR="00701305">
        <w:rPr>
          <w:sz w:val="24"/>
          <w:szCs w:val="24"/>
          <w:lang w:val="es-CO"/>
        </w:rPr>
        <w:t>1)</w:t>
      </w:r>
      <w:r w:rsidR="00F62350">
        <w:rPr>
          <w:sz w:val="24"/>
          <w:szCs w:val="24"/>
          <w:lang w:val="es-CO"/>
        </w:rPr>
        <w:t>. De este porcentaje</w:t>
      </w:r>
      <w:r w:rsidR="005D223A">
        <w:rPr>
          <w:sz w:val="24"/>
          <w:szCs w:val="24"/>
          <w:lang w:val="es-CO"/>
        </w:rPr>
        <w:t xml:space="preserve"> </w:t>
      </w:r>
      <w:r w:rsidR="005D223A" w:rsidRPr="005D223A">
        <w:rPr>
          <w:sz w:val="24"/>
          <w:szCs w:val="24"/>
          <w:lang w:val="es-CO"/>
        </w:rPr>
        <w:t>se infiere</w:t>
      </w:r>
      <w:r w:rsidR="005D223A">
        <w:rPr>
          <w:sz w:val="24"/>
          <w:szCs w:val="24"/>
          <w:lang w:val="es-CO"/>
        </w:rPr>
        <w:t xml:space="preserve"> </w:t>
      </w:r>
      <w:r w:rsidR="00F62350">
        <w:rPr>
          <w:sz w:val="24"/>
          <w:szCs w:val="24"/>
          <w:lang w:val="es-CO"/>
        </w:rPr>
        <w:t xml:space="preserve">que una porción significativa </w:t>
      </w:r>
      <w:r w:rsidR="00F62350" w:rsidRPr="005D223A">
        <w:rPr>
          <w:sz w:val="24"/>
          <w:szCs w:val="24"/>
          <w:lang w:val="es-CO"/>
        </w:rPr>
        <w:t>es</w:t>
      </w:r>
      <w:r w:rsidR="005D223A" w:rsidRPr="005D223A">
        <w:rPr>
          <w:sz w:val="24"/>
          <w:szCs w:val="24"/>
          <w:lang w:val="es-CO"/>
        </w:rPr>
        <w:t xml:space="preserve"> producto de la inadecuada respues</w:t>
      </w:r>
      <w:r w:rsidR="005D223A">
        <w:rPr>
          <w:sz w:val="24"/>
          <w:szCs w:val="24"/>
          <w:lang w:val="es-CO"/>
        </w:rPr>
        <w:t xml:space="preserve">ta a </w:t>
      </w:r>
      <w:r w:rsidR="00701305">
        <w:rPr>
          <w:sz w:val="24"/>
          <w:szCs w:val="24"/>
          <w:lang w:val="es-CO"/>
        </w:rPr>
        <w:t xml:space="preserve">peticiones de </w:t>
      </w:r>
      <w:r w:rsidR="005D223A">
        <w:rPr>
          <w:sz w:val="24"/>
          <w:szCs w:val="24"/>
          <w:lang w:val="es-CO"/>
        </w:rPr>
        <w:t xml:space="preserve">información. </w:t>
      </w:r>
      <w:r w:rsidR="0094008C">
        <w:rPr>
          <w:sz w:val="24"/>
          <w:szCs w:val="24"/>
          <w:lang w:val="es-CO"/>
        </w:rPr>
        <w:t xml:space="preserve">Para conocer con mayor detalle a que entidades corresponden dichas tutelas, la Defensoría del Pueblo remitió la base de datos al GTDAIP y </w:t>
      </w:r>
      <w:r w:rsidR="00701305">
        <w:rPr>
          <w:sz w:val="24"/>
          <w:szCs w:val="24"/>
          <w:lang w:val="es-CO"/>
        </w:rPr>
        <w:t>la tabla que se presenta en el A</w:t>
      </w:r>
      <w:r w:rsidR="007962BC">
        <w:rPr>
          <w:sz w:val="24"/>
          <w:szCs w:val="24"/>
          <w:lang w:val="es-CO"/>
        </w:rPr>
        <w:t xml:space="preserve">nexo </w:t>
      </w:r>
      <w:r w:rsidR="007962BC">
        <w:rPr>
          <w:sz w:val="24"/>
          <w:szCs w:val="24"/>
          <w:lang w:val="es-CO"/>
        </w:rPr>
        <w:t xml:space="preserve">No. </w:t>
      </w:r>
      <w:r w:rsidR="0094008C">
        <w:rPr>
          <w:sz w:val="24"/>
          <w:szCs w:val="24"/>
          <w:lang w:val="es-CO"/>
        </w:rPr>
        <w:t xml:space="preserve">2. </w:t>
      </w:r>
      <w:r w:rsidR="00701305">
        <w:rPr>
          <w:sz w:val="24"/>
          <w:szCs w:val="24"/>
          <w:lang w:val="es-CO"/>
        </w:rPr>
        <w:t>Este panorama muestra</w:t>
      </w:r>
      <w:r w:rsidR="0094008C">
        <w:rPr>
          <w:sz w:val="24"/>
          <w:szCs w:val="24"/>
          <w:lang w:val="es-CO"/>
        </w:rPr>
        <w:t xml:space="preserve"> una urgente necesidad de la ciuda</w:t>
      </w:r>
      <w:r w:rsidR="00701305">
        <w:rPr>
          <w:sz w:val="24"/>
          <w:szCs w:val="24"/>
          <w:lang w:val="es-CO"/>
        </w:rPr>
        <w:t>da</w:t>
      </w:r>
      <w:r w:rsidR="0094008C">
        <w:rPr>
          <w:sz w:val="24"/>
          <w:szCs w:val="24"/>
          <w:lang w:val="es-CO"/>
        </w:rPr>
        <w:t xml:space="preserve">nía por acceder a la información pública y una baja capacidad por parte de las entidades para suminístrala. </w:t>
      </w:r>
    </w:p>
    <w:p w:rsidR="00701305" w:rsidRDefault="00701305" w:rsidP="00FA04E0">
      <w:pPr>
        <w:ind w:firstLine="360"/>
        <w:jc w:val="both"/>
        <w:rPr>
          <w:sz w:val="24"/>
          <w:szCs w:val="24"/>
          <w:lang w:val="es-CO"/>
        </w:rPr>
      </w:pPr>
    </w:p>
    <w:p w:rsidR="00701305" w:rsidRDefault="00701305" w:rsidP="00701305">
      <w:pPr>
        <w:ind w:firstLine="360"/>
        <w:jc w:val="both"/>
        <w:rPr>
          <w:sz w:val="24"/>
          <w:szCs w:val="24"/>
          <w:lang w:val="es-CO"/>
        </w:rPr>
      </w:pPr>
      <w:r>
        <w:rPr>
          <w:sz w:val="24"/>
          <w:szCs w:val="24"/>
          <w:lang w:val="es-CO"/>
        </w:rPr>
        <w:t>Igualmente, la unidad de Informes de Decisiones de Tutela y N</w:t>
      </w:r>
      <w:r w:rsidRPr="00701305">
        <w:rPr>
          <w:sz w:val="24"/>
          <w:szCs w:val="24"/>
          <w:lang w:val="es-CO"/>
        </w:rPr>
        <w:t>ormatividad</w:t>
      </w:r>
      <w:r w:rsidR="007962BC">
        <w:rPr>
          <w:sz w:val="24"/>
          <w:szCs w:val="24"/>
          <w:lang w:val="es-CO"/>
        </w:rPr>
        <w:t xml:space="preserve"> obtuvo los siguientes resultados</w:t>
      </w:r>
      <w:r w:rsidR="00527178">
        <w:rPr>
          <w:sz w:val="24"/>
          <w:szCs w:val="24"/>
          <w:lang w:val="es-CO"/>
        </w:rPr>
        <w:t>: 1) R</w:t>
      </w:r>
      <w:r>
        <w:rPr>
          <w:sz w:val="24"/>
          <w:szCs w:val="24"/>
          <w:lang w:val="es-CO"/>
        </w:rPr>
        <w:t xml:space="preserve">elatoría sobre </w:t>
      </w:r>
      <w:r w:rsidR="00527178">
        <w:rPr>
          <w:sz w:val="24"/>
          <w:szCs w:val="24"/>
          <w:lang w:val="es-CO"/>
        </w:rPr>
        <w:t xml:space="preserve">el derecho de acceso a la información pública que </w:t>
      </w:r>
      <w:r>
        <w:rPr>
          <w:sz w:val="24"/>
          <w:szCs w:val="24"/>
          <w:lang w:val="es-CO"/>
        </w:rPr>
        <w:t xml:space="preserve">incluye 140 </w:t>
      </w:r>
      <w:r w:rsidR="00527178">
        <w:rPr>
          <w:sz w:val="24"/>
          <w:szCs w:val="24"/>
          <w:lang w:val="es-CO"/>
        </w:rPr>
        <w:t>normas y decisiones jurisprudenciales</w:t>
      </w:r>
      <w:r>
        <w:rPr>
          <w:sz w:val="24"/>
          <w:szCs w:val="24"/>
          <w:lang w:val="es-CO"/>
        </w:rPr>
        <w:t xml:space="preserve">. Esta relatoría está disponible al público en el </w:t>
      </w:r>
      <w:proofErr w:type="spellStart"/>
      <w:r>
        <w:rPr>
          <w:sz w:val="24"/>
          <w:szCs w:val="24"/>
          <w:lang w:val="es-CO"/>
        </w:rPr>
        <w:t>micrositio</w:t>
      </w:r>
      <w:proofErr w:type="spellEnd"/>
      <w:r>
        <w:rPr>
          <w:sz w:val="24"/>
          <w:szCs w:val="24"/>
          <w:lang w:val="es-CO"/>
        </w:rPr>
        <w:t xml:space="preserve"> web del GTDAIP.</w:t>
      </w:r>
      <w:r w:rsidR="00527178">
        <w:rPr>
          <w:sz w:val="24"/>
          <w:szCs w:val="24"/>
          <w:lang w:val="es-CO"/>
        </w:rPr>
        <w:t xml:space="preserve"> 2) Elaboración de una línea en el tiempo de la evolución </w:t>
      </w:r>
      <w:r w:rsidR="000A44F9">
        <w:rPr>
          <w:sz w:val="24"/>
          <w:szCs w:val="24"/>
          <w:lang w:val="es-CO"/>
        </w:rPr>
        <w:t>normativa</w:t>
      </w:r>
      <w:r w:rsidR="00527178">
        <w:rPr>
          <w:sz w:val="24"/>
          <w:szCs w:val="24"/>
          <w:lang w:val="es-CO"/>
        </w:rPr>
        <w:t xml:space="preserve"> en la materia.</w:t>
      </w:r>
      <w:r>
        <w:rPr>
          <w:sz w:val="24"/>
          <w:szCs w:val="24"/>
          <w:lang w:val="es-CO"/>
        </w:rPr>
        <w:t xml:space="preserve"> </w:t>
      </w:r>
      <w:r w:rsidR="00527178">
        <w:rPr>
          <w:sz w:val="24"/>
          <w:szCs w:val="24"/>
          <w:lang w:val="es-CO"/>
        </w:rPr>
        <w:t xml:space="preserve">3) Diseño y diligenciamiento de 15 fichas sobre decisiones de tutela. 4) Articulación con el Consejo Superior de la Judicatura con el fin de conocer sus diferentes sistemas de información sobre tutelas allegadas a los despachos judiciales. 5) Elaboración de definiciones sobre las categorías de sujetos obligados y remisión de requerimientos a las </w:t>
      </w:r>
      <w:r w:rsidR="00DB0B50">
        <w:rPr>
          <w:sz w:val="24"/>
          <w:szCs w:val="24"/>
          <w:lang w:val="es-CO"/>
        </w:rPr>
        <w:t xml:space="preserve">10 Superintendencias, al Consejo Nacional Electoral y a la </w:t>
      </w:r>
      <w:proofErr w:type="spellStart"/>
      <w:r w:rsidR="00DB0B50">
        <w:rPr>
          <w:sz w:val="24"/>
          <w:szCs w:val="24"/>
          <w:lang w:val="es-CO"/>
        </w:rPr>
        <w:t>Registraduría</w:t>
      </w:r>
      <w:proofErr w:type="spellEnd"/>
      <w:r w:rsidR="00DB0B50">
        <w:rPr>
          <w:sz w:val="24"/>
          <w:szCs w:val="24"/>
          <w:lang w:val="es-CO"/>
        </w:rPr>
        <w:t xml:space="preserve"> con el propósito de tener mayor claridad sobre el universo y censo de los sujetos obligados.</w:t>
      </w:r>
    </w:p>
    <w:p w:rsidR="00701305" w:rsidRDefault="00701305" w:rsidP="00FA04E0">
      <w:pPr>
        <w:ind w:firstLine="360"/>
        <w:jc w:val="both"/>
        <w:rPr>
          <w:sz w:val="24"/>
          <w:szCs w:val="24"/>
          <w:lang w:val="es-CO"/>
        </w:rPr>
      </w:pPr>
    </w:p>
    <w:p w:rsidR="007640AD" w:rsidRDefault="005542C6" w:rsidP="000A44F9">
      <w:pPr>
        <w:ind w:firstLine="360"/>
        <w:jc w:val="both"/>
        <w:rPr>
          <w:sz w:val="24"/>
          <w:szCs w:val="24"/>
          <w:lang w:val="es-ES"/>
        </w:rPr>
      </w:pPr>
      <w:r>
        <w:rPr>
          <w:b/>
          <w:sz w:val="24"/>
          <w:szCs w:val="24"/>
          <w:lang w:val="es-ES"/>
        </w:rPr>
        <w:t>2</w:t>
      </w:r>
      <w:r w:rsidR="006A5670">
        <w:rPr>
          <w:b/>
          <w:sz w:val="24"/>
          <w:szCs w:val="24"/>
          <w:lang w:val="es-ES"/>
        </w:rPr>
        <w:t>.3</w:t>
      </w:r>
      <w:r w:rsidR="000A44F9" w:rsidRPr="00571C40">
        <w:rPr>
          <w:b/>
          <w:sz w:val="24"/>
          <w:szCs w:val="24"/>
          <w:lang w:val="es-ES"/>
        </w:rPr>
        <w:t xml:space="preserve">. </w:t>
      </w:r>
      <w:r w:rsidR="006A5670">
        <w:rPr>
          <w:b/>
          <w:sz w:val="24"/>
          <w:szCs w:val="24"/>
          <w:lang w:val="es-ES"/>
        </w:rPr>
        <w:t>Vigilancia y seguimiento a sujetos obligados</w:t>
      </w:r>
      <w:r w:rsidR="000A44F9" w:rsidRPr="003E0D67">
        <w:rPr>
          <w:sz w:val="24"/>
          <w:szCs w:val="24"/>
          <w:lang w:val="es-ES"/>
        </w:rPr>
        <w:t xml:space="preserve">. </w:t>
      </w:r>
      <w:r w:rsidR="006A5670">
        <w:rPr>
          <w:sz w:val="24"/>
          <w:szCs w:val="24"/>
          <w:lang w:val="es-ES"/>
        </w:rPr>
        <w:t xml:space="preserve">Gracias a las labores de esta línea de trabajo, se elaboró una matriz de autodiagnóstico del cumplimiento de la Ley 1712 que fue aplicada </w:t>
      </w:r>
      <w:r w:rsidR="00ED45F0">
        <w:rPr>
          <w:sz w:val="24"/>
          <w:szCs w:val="24"/>
          <w:lang w:val="es-ES"/>
        </w:rPr>
        <w:t>en una primera instancia a</w:t>
      </w:r>
      <w:r w:rsidR="003C4EFF">
        <w:rPr>
          <w:sz w:val="24"/>
          <w:szCs w:val="24"/>
          <w:lang w:val="es-ES"/>
        </w:rPr>
        <w:t xml:space="preserve"> </w:t>
      </w:r>
      <w:r w:rsidR="00ED45F0">
        <w:rPr>
          <w:sz w:val="24"/>
          <w:szCs w:val="24"/>
          <w:lang w:val="es-ES"/>
        </w:rPr>
        <w:t>l</w:t>
      </w:r>
      <w:r w:rsidR="003C4EFF">
        <w:rPr>
          <w:sz w:val="24"/>
          <w:szCs w:val="24"/>
          <w:lang w:val="es-ES"/>
        </w:rPr>
        <w:t>a</w:t>
      </w:r>
      <w:r w:rsidR="00ED45F0">
        <w:rPr>
          <w:sz w:val="24"/>
          <w:szCs w:val="24"/>
          <w:lang w:val="es-ES"/>
        </w:rPr>
        <w:t xml:space="preserve"> PGN. De esta manera, el GTDAIP acompañó a la Secretaría General de la </w:t>
      </w:r>
      <w:r w:rsidR="003C4EFF">
        <w:rPr>
          <w:sz w:val="24"/>
          <w:szCs w:val="24"/>
          <w:lang w:val="es-ES"/>
        </w:rPr>
        <w:t>entidad</w:t>
      </w:r>
      <w:r w:rsidR="00ED45F0">
        <w:rPr>
          <w:sz w:val="24"/>
          <w:szCs w:val="24"/>
          <w:lang w:val="es-ES"/>
        </w:rPr>
        <w:t xml:space="preserve"> en la etapa </w:t>
      </w:r>
      <w:r w:rsidR="007851B8">
        <w:rPr>
          <w:sz w:val="24"/>
          <w:szCs w:val="24"/>
          <w:lang w:val="es-ES"/>
        </w:rPr>
        <w:t xml:space="preserve">inicial </w:t>
      </w:r>
      <w:r w:rsidR="00ED45F0">
        <w:rPr>
          <w:sz w:val="24"/>
          <w:szCs w:val="24"/>
          <w:lang w:val="es-ES"/>
        </w:rPr>
        <w:t>como sujeto obligado</w:t>
      </w:r>
      <w:r w:rsidR="007962BC">
        <w:rPr>
          <w:sz w:val="24"/>
          <w:szCs w:val="24"/>
          <w:lang w:val="es-ES"/>
        </w:rPr>
        <w:t xml:space="preserve">. A partir de este ejercicio se publicó en el </w:t>
      </w:r>
      <w:proofErr w:type="spellStart"/>
      <w:r w:rsidR="007962BC">
        <w:rPr>
          <w:sz w:val="24"/>
          <w:szCs w:val="24"/>
          <w:lang w:val="es-ES"/>
        </w:rPr>
        <w:t>micrositio</w:t>
      </w:r>
      <w:proofErr w:type="spellEnd"/>
      <w:r w:rsidR="007962BC">
        <w:rPr>
          <w:sz w:val="24"/>
          <w:szCs w:val="24"/>
          <w:lang w:val="es-ES"/>
        </w:rPr>
        <w:t xml:space="preserve"> del GTDAIP la matriz diligencia por parte de la PGN, la cual evidencia un nivel de cumplimiento del 69%. </w:t>
      </w:r>
      <w:r w:rsidR="007640AD">
        <w:rPr>
          <w:sz w:val="24"/>
          <w:szCs w:val="24"/>
          <w:lang w:val="es-ES"/>
        </w:rPr>
        <w:t xml:space="preserve">Igualmente, se proyectó un </w:t>
      </w:r>
      <w:r w:rsidR="003C4EFF">
        <w:rPr>
          <w:sz w:val="24"/>
          <w:szCs w:val="24"/>
          <w:lang w:val="es-ES"/>
        </w:rPr>
        <w:t>oficio</w:t>
      </w:r>
      <w:r w:rsidR="007640AD">
        <w:rPr>
          <w:sz w:val="24"/>
          <w:szCs w:val="24"/>
          <w:lang w:val="es-ES"/>
        </w:rPr>
        <w:t xml:space="preserve"> dirigid</w:t>
      </w:r>
      <w:r w:rsidR="003C4EFF">
        <w:rPr>
          <w:sz w:val="24"/>
          <w:szCs w:val="24"/>
          <w:lang w:val="es-ES"/>
        </w:rPr>
        <w:t>o</w:t>
      </w:r>
      <w:r w:rsidR="007640AD">
        <w:rPr>
          <w:sz w:val="24"/>
          <w:szCs w:val="24"/>
          <w:lang w:val="es-ES"/>
        </w:rPr>
        <w:t xml:space="preserve"> a la Secretaría General de la PGN con el propósito de informar sobre las obligaciones que tiene la entidad como sujeto obligado</w:t>
      </w:r>
      <w:r w:rsidR="003C4EFF">
        <w:rPr>
          <w:sz w:val="24"/>
          <w:szCs w:val="24"/>
          <w:lang w:val="es-ES"/>
        </w:rPr>
        <w:t>.</w:t>
      </w:r>
      <w:r w:rsidR="007851B8">
        <w:rPr>
          <w:sz w:val="24"/>
          <w:szCs w:val="24"/>
          <w:lang w:val="es-ES"/>
        </w:rPr>
        <w:t xml:space="preserve"> </w:t>
      </w:r>
    </w:p>
    <w:p w:rsidR="003C4EFF" w:rsidRDefault="003C4EFF" w:rsidP="000A44F9">
      <w:pPr>
        <w:ind w:firstLine="360"/>
        <w:jc w:val="both"/>
        <w:rPr>
          <w:sz w:val="24"/>
          <w:szCs w:val="24"/>
          <w:lang w:val="es-ES"/>
        </w:rPr>
      </w:pPr>
    </w:p>
    <w:p w:rsidR="007640AD" w:rsidRDefault="007640AD" w:rsidP="000A44F9">
      <w:pPr>
        <w:ind w:firstLine="360"/>
        <w:jc w:val="both"/>
        <w:rPr>
          <w:sz w:val="24"/>
          <w:szCs w:val="24"/>
          <w:lang w:val="es-CO"/>
        </w:rPr>
      </w:pPr>
      <w:r>
        <w:rPr>
          <w:sz w:val="24"/>
          <w:szCs w:val="24"/>
          <w:lang w:val="es-ES"/>
        </w:rPr>
        <w:t>En relación a los sujetos obligados externos, se enviaron requerimientos informando sobre las obligaciones</w:t>
      </w:r>
      <w:r w:rsidR="00F816D4">
        <w:rPr>
          <w:sz w:val="24"/>
          <w:szCs w:val="24"/>
          <w:lang w:val="es-ES"/>
        </w:rPr>
        <w:t xml:space="preserve"> de la Ley 1712</w:t>
      </w:r>
      <w:r>
        <w:rPr>
          <w:sz w:val="24"/>
          <w:szCs w:val="24"/>
          <w:lang w:val="es-ES"/>
        </w:rPr>
        <w:t xml:space="preserve"> y ajuntando la matriz de autodiagnóstico a 160 entidad p</w:t>
      </w:r>
      <w:r w:rsidR="00242846">
        <w:rPr>
          <w:sz w:val="24"/>
          <w:szCs w:val="24"/>
          <w:lang w:val="es-ES"/>
        </w:rPr>
        <w:t xml:space="preserve">úblicas del orden nacional por </w:t>
      </w:r>
      <w:r>
        <w:rPr>
          <w:sz w:val="24"/>
          <w:szCs w:val="24"/>
          <w:lang w:val="es-ES"/>
        </w:rPr>
        <w:t xml:space="preserve">correo físico y a 365 entidades </w:t>
      </w:r>
      <w:r w:rsidR="00F816D4">
        <w:rPr>
          <w:sz w:val="24"/>
          <w:szCs w:val="24"/>
          <w:lang w:val="es-ES"/>
        </w:rPr>
        <w:t>por correo electrónico. Tambi</w:t>
      </w:r>
      <w:r w:rsidR="00242846">
        <w:rPr>
          <w:sz w:val="24"/>
          <w:szCs w:val="24"/>
          <w:lang w:val="es-ES"/>
        </w:rPr>
        <w:t>én, se requirió al Ministerio de Educación como líder de política con el fin de conocer los planes diseñados para dar cumplimiento a las nuevas responsabilidades asignadas por la Ley. Por último,</w:t>
      </w:r>
      <w:r w:rsidR="007851B8">
        <w:rPr>
          <w:sz w:val="24"/>
          <w:szCs w:val="24"/>
          <w:lang w:val="es-ES"/>
        </w:rPr>
        <w:t xml:space="preserve"> se realizó una primera aproximación</w:t>
      </w:r>
      <w:r w:rsidR="002C261B">
        <w:rPr>
          <w:sz w:val="24"/>
          <w:szCs w:val="24"/>
          <w:lang w:val="es-ES"/>
        </w:rPr>
        <w:t xml:space="preserve"> de análisis sobre el cumplimiento</w:t>
      </w:r>
      <w:r w:rsidR="007851B8">
        <w:rPr>
          <w:sz w:val="24"/>
          <w:szCs w:val="24"/>
          <w:lang w:val="es-ES"/>
        </w:rPr>
        <w:t xml:space="preserve"> del Congreso como sujeto</w:t>
      </w:r>
      <w:r w:rsidR="002C261B">
        <w:rPr>
          <w:sz w:val="24"/>
          <w:szCs w:val="24"/>
          <w:lang w:val="es-ES"/>
        </w:rPr>
        <w:t xml:space="preserve"> obligado y </w:t>
      </w:r>
      <w:r w:rsidR="00242846">
        <w:rPr>
          <w:sz w:val="24"/>
          <w:szCs w:val="24"/>
          <w:lang w:val="es-ES"/>
        </w:rPr>
        <w:t>se inició la elaboración de un requerimiento dirigido a los partidos políticos y movimientos significativos</w:t>
      </w:r>
      <w:r w:rsidR="002C261B">
        <w:rPr>
          <w:sz w:val="24"/>
          <w:szCs w:val="24"/>
          <w:lang w:val="es-ES"/>
        </w:rPr>
        <w:t xml:space="preserve"> de ciudadanos.</w:t>
      </w:r>
      <w:r w:rsidR="00242846">
        <w:rPr>
          <w:sz w:val="24"/>
          <w:szCs w:val="24"/>
          <w:lang w:val="es-ES"/>
        </w:rPr>
        <w:t xml:space="preserve"> </w:t>
      </w:r>
    </w:p>
    <w:p w:rsidR="00701305" w:rsidRDefault="00701305" w:rsidP="00FA04E0">
      <w:pPr>
        <w:ind w:firstLine="360"/>
        <w:jc w:val="both"/>
        <w:rPr>
          <w:sz w:val="24"/>
          <w:szCs w:val="24"/>
          <w:lang w:val="es-CO"/>
        </w:rPr>
      </w:pPr>
    </w:p>
    <w:p w:rsidR="00701305" w:rsidRDefault="00242846" w:rsidP="00FA04E0">
      <w:pPr>
        <w:ind w:firstLine="360"/>
        <w:jc w:val="both"/>
        <w:rPr>
          <w:sz w:val="24"/>
          <w:szCs w:val="24"/>
          <w:lang w:val="es-CO"/>
        </w:rPr>
      </w:pPr>
      <w:r>
        <w:rPr>
          <w:sz w:val="24"/>
          <w:szCs w:val="24"/>
          <w:lang w:val="es-CO"/>
        </w:rPr>
        <w:t>Para la óptima vigilancia y seguimiento a sujetos obligados, se adaptó el Índice de Gobierno Abierto</w:t>
      </w:r>
      <w:r w:rsidR="00F52182">
        <w:rPr>
          <w:sz w:val="24"/>
          <w:szCs w:val="24"/>
          <w:lang w:val="es-CO"/>
        </w:rPr>
        <w:t xml:space="preserve"> (IGA)</w:t>
      </w:r>
      <w:r>
        <w:rPr>
          <w:sz w:val="24"/>
          <w:szCs w:val="24"/>
          <w:lang w:val="es-CO"/>
        </w:rPr>
        <w:t xml:space="preserve"> </w:t>
      </w:r>
      <w:r w:rsidR="002C261B">
        <w:rPr>
          <w:sz w:val="24"/>
          <w:szCs w:val="24"/>
          <w:lang w:val="es-CO"/>
        </w:rPr>
        <w:t xml:space="preserve">a </w:t>
      </w:r>
      <w:r>
        <w:rPr>
          <w:sz w:val="24"/>
          <w:szCs w:val="24"/>
          <w:lang w:val="es-CO"/>
        </w:rPr>
        <w:t xml:space="preserve">las entidades públicas </w:t>
      </w:r>
      <w:r w:rsidR="002C261B">
        <w:rPr>
          <w:sz w:val="24"/>
          <w:szCs w:val="24"/>
          <w:lang w:val="es-CO"/>
        </w:rPr>
        <w:t xml:space="preserve">del orden nacional. Este ejercicio permitió la elaboración del primer informe de cumplimiento de la Ley (Anexo #3) el cual se basa de fuentes de información secundarias como el </w:t>
      </w:r>
      <w:r w:rsidR="00DB1910" w:rsidRPr="00DB1910">
        <w:rPr>
          <w:sz w:val="24"/>
          <w:szCs w:val="24"/>
          <w:lang w:val="es-CO"/>
        </w:rPr>
        <w:t>Formulario Único Reporte de Avances de la Gestión</w:t>
      </w:r>
      <w:r w:rsidR="00DB1910">
        <w:rPr>
          <w:sz w:val="24"/>
          <w:szCs w:val="24"/>
          <w:lang w:val="es-CO"/>
        </w:rPr>
        <w:t xml:space="preserve"> (</w:t>
      </w:r>
      <w:r w:rsidR="002C261B">
        <w:rPr>
          <w:sz w:val="24"/>
          <w:szCs w:val="24"/>
          <w:lang w:val="es-CO"/>
        </w:rPr>
        <w:t>FURAG</w:t>
      </w:r>
      <w:r w:rsidR="00DB1910">
        <w:rPr>
          <w:sz w:val="24"/>
          <w:szCs w:val="24"/>
          <w:lang w:val="es-CO"/>
        </w:rPr>
        <w:t>),</w:t>
      </w:r>
      <w:r w:rsidR="009E4B73">
        <w:rPr>
          <w:sz w:val="24"/>
          <w:szCs w:val="24"/>
          <w:lang w:val="es-CO"/>
        </w:rPr>
        <w:t xml:space="preserve"> Sistema Único de Información de Trámites (S</w:t>
      </w:r>
      <w:r w:rsidR="007851B8">
        <w:rPr>
          <w:sz w:val="24"/>
          <w:szCs w:val="24"/>
          <w:lang w:val="es-CO"/>
        </w:rPr>
        <w:t>UIT), Sistema de Información y G</w:t>
      </w:r>
      <w:r w:rsidR="009E4B73">
        <w:rPr>
          <w:sz w:val="24"/>
          <w:szCs w:val="24"/>
          <w:lang w:val="es-CO"/>
        </w:rPr>
        <w:t>estión del Empleo Público (SIGEP),</w:t>
      </w:r>
      <w:r w:rsidR="00DB1910">
        <w:rPr>
          <w:sz w:val="24"/>
          <w:szCs w:val="24"/>
          <w:lang w:val="es-CO"/>
        </w:rPr>
        <w:t xml:space="preserve"> el Sistema Electrónico de Contratación Pública (SECOP), el Archivo General de la Nación</w:t>
      </w:r>
      <w:r w:rsidR="007851B8">
        <w:rPr>
          <w:sz w:val="24"/>
          <w:szCs w:val="24"/>
          <w:lang w:val="es-CO"/>
        </w:rPr>
        <w:t xml:space="preserve"> (AGN)</w:t>
      </w:r>
      <w:r w:rsidR="00DB1910">
        <w:rPr>
          <w:sz w:val="24"/>
          <w:szCs w:val="24"/>
          <w:lang w:val="es-CO"/>
        </w:rPr>
        <w:t>, el Departamento Administrativo de la Función Pública (DAFP) y del Programa de Servicio al Ciudadano del Departamento de Planeación Nacional (DNP).</w:t>
      </w:r>
    </w:p>
    <w:p w:rsidR="007574FB" w:rsidRDefault="007574FB" w:rsidP="00FA04E0">
      <w:pPr>
        <w:ind w:firstLine="360"/>
        <w:jc w:val="both"/>
        <w:rPr>
          <w:sz w:val="24"/>
          <w:szCs w:val="24"/>
          <w:lang w:val="es-CO"/>
        </w:rPr>
      </w:pPr>
    </w:p>
    <w:p w:rsidR="007574FB" w:rsidRDefault="00D361F1" w:rsidP="00D361F1">
      <w:pPr>
        <w:ind w:firstLine="360"/>
        <w:jc w:val="both"/>
        <w:rPr>
          <w:sz w:val="24"/>
          <w:szCs w:val="24"/>
          <w:lang w:val="es-CO"/>
        </w:rPr>
      </w:pPr>
      <w:r>
        <w:rPr>
          <w:sz w:val="24"/>
          <w:szCs w:val="24"/>
          <w:lang w:val="es-CO"/>
        </w:rPr>
        <w:t>De acuerdo al</w:t>
      </w:r>
      <w:r w:rsidR="007574FB">
        <w:rPr>
          <w:sz w:val="24"/>
          <w:szCs w:val="24"/>
          <w:lang w:val="es-CO"/>
        </w:rPr>
        <w:t xml:space="preserve"> primer informe </w:t>
      </w:r>
      <w:r>
        <w:rPr>
          <w:sz w:val="24"/>
          <w:szCs w:val="24"/>
          <w:lang w:val="es-CO"/>
        </w:rPr>
        <w:t>de vigilancia del cumplimiento de la Ley de las entidades públicas del orden nacional se evidenció que existen brechas significativas entre las coberturas de los sistemas de información existentes lo que debe armonizarse con el propósito de monitorear a la totalidad de los sujetos obligados. Asimismo, l</w:t>
      </w:r>
      <w:r w:rsidR="007574FB" w:rsidRPr="007574FB">
        <w:rPr>
          <w:sz w:val="24"/>
          <w:szCs w:val="24"/>
          <w:lang w:val="es-CO"/>
        </w:rPr>
        <w:t xml:space="preserve">os resultados </w:t>
      </w:r>
      <w:r>
        <w:rPr>
          <w:sz w:val="24"/>
          <w:szCs w:val="24"/>
          <w:lang w:val="es-CO"/>
        </w:rPr>
        <w:t xml:space="preserve">del informe </w:t>
      </w:r>
      <w:r w:rsidR="007574FB" w:rsidRPr="007574FB">
        <w:rPr>
          <w:sz w:val="24"/>
          <w:szCs w:val="24"/>
          <w:lang w:val="es-CO"/>
        </w:rPr>
        <w:t xml:space="preserve">muestran que la gestión de la información en dichas instituciones tiene mucho por mejorar. Por ejemplo, durante el presente año, el 25% de las entidades nacionales no ha ingresado ningún tipo de información en el Sistema de Información y Gestión del Empleo Público (SIGEP) del Departamento Administrativo de la Función Pública (DAFP, 2014); el 66% de </w:t>
      </w:r>
      <w:r w:rsidR="007574FB" w:rsidRPr="007574FB">
        <w:rPr>
          <w:sz w:val="24"/>
          <w:szCs w:val="24"/>
          <w:lang w:val="es-CO"/>
        </w:rPr>
        <w:lastRenderedPageBreak/>
        <w:t xml:space="preserve">las entidades nacionales no cuentan con un Programa de Gestión Documental según el Archivo General de la Nación (AGN, 2013); el 62% de las entidades nacionales no publicaron de manera oportuna el Plan Anual de Adquisiciones (PAA) en el Sistema Electrónico de Contratación Pública (SECOP, 2014); </w:t>
      </w:r>
      <w:r>
        <w:rPr>
          <w:sz w:val="24"/>
          <w:szCs w:val="24"/>
          <w:lang w:val="es-CO"/>
        </w:rPr>
        <w:t xml:space="preserve">y </w:t>
      </w:r>
      <w:r w:rsidR="007574FB" w:rsidRPr="007574FB">
        <w:rPr>
          <w:sz w:val="24"/>
          <w:szCs w:val="24"/>
          <w:lang w:val="es-CO"/>
        </w:rPr>
        <w:t>el 29% de las entidades inscritas en el Sistema Único de Información de Trámites (SUIT) no registraron trámites o procedimientos en el sistema o no evidencian ningún avance (DAFP, 2014).</w:t>
      </w:r>
    </w:p>
    <w:p w:rsidR="00CB5BD1" w:rsidRDefault="00CB5BD1" w:rsidP="00FA04E0">
      <w:pPr>
        <w:ind w:firstLine="360"/>
        <w:jc w:val="both"/>
        <w:rPr>
          <w:sz w:val="24"/>
          <w:szCs w:val="24"/>
          <w:lang w:val="es-CO"/>
        </w:rPr>
      </w:pPr>
    </w:p>
    <w:p w:rsidR="004D23BE" w:rsidRDefault="005542C6" w:rsidP="004D23BE">
      <w:pPr>
        <w:ind w:firstLine="360"/>
        <w:jc w:val="both"/>
        <w:rPr>
          <w:sz w:val="24"/>
          <w:szCs w:val="24"/>
          <w:lang w:val="es-CO"/>
        </w:rPr>
      </w:pPr>
      <w:r>
        <w:rPr>
          <w:b/>
          <w:sz w:val="24"/>
          <w:szCs w:val="24"/>
          <w:lang w:val="es-ES"/>
        </w:rPr>
        <w:t>2</w:t>
      </w:r>
      <w:r w:rsidR="009E4B73">
        <w:rPr>
          <w:b/>
          <w:sz w:val="24"/>
          <w:szCs w:val="24"/>
          <w:lang w:val="es-ES"/>
        </w:rPr>
        <w:t>.4</w:t>
      </w:r>
      <w:r w:rsidR="009E4B73" w:rsidRPr="00571C40">
        <w:rPr>
          <w:b/>
          <w:sz w:val="24"/>
          <w:szCs w:val="24"/>
          <w:lang w:val="es-ES"/>
        </w:rPr>
        <w:t>.</w:t>
      </w:r>
      <w:r w:rsidR="009E4B73">
        <w:rPr>
          <w:b/>
          <w:sz w:val="24"/>
          <w:szCs w:val="24"/>
          <w:lang w:val="es-ES"/>
        </w:rPr>
        <w:t xml:space="preserve"> Capacitación y promoción</w:t>
      </w:r>
      <w:r w:rsidR="009E4B73" w:rsidRPr="003E0D67">
        <w:rPr>
          <w:sz w:val="24"/>
          <w:szCs w:val="24"/>
          <w:lang w:val="es-ES"/>
        </w:rPr>
        <w:t xml:space="preserve">. </w:t>
      </w:r>
      <w:r w:rsidR="004D23BE">
        <w:rPr>
          <w:sz w:val="24"/>
          <w:szCs w:val="24"/>
          <w:lang w:val="es-ES"/>
        </w:rPr>
        <w:t xml:space="preserve">Dado que la Ley 1712 fue recientemente expedida y entró en aplicación el 6 de septiembre del 2014, </w:t>
      </w:r>
      <w:r w:rsidR="0019323B">
        <w:rPr>
          <w:sz w:val="24"/>
          <w:szCs w:val="24"/>
          <w:lang w:val="es-ES"/>
        </w:rPr>
        <w:t>se presentan</w:t>
      </w:r>
      <w:r w:rsidR="004D23BE">
        <w:rPr>
          <w:sz w:val="24"/>
          <w:szCs w:val="24"/>
          <w:lang w:val="es-ES"/>
        </w:rPr>
        <w:t xml:space="preserve"> muchas inquietudes </w:t>
      </w:r>
      <w:r w:rsidR="0019323B">
        <w:rPr>
          <w:sz w:val="24"/>
          <w:szCs w:val="24"/>
          <w:lang w:val="es-ES"/>
        </w:rPr>
        <w:t xml:space="preserve">y desconocimiento </w:t>
      </w:r>
      <w:r w:rsidR="004D23BE">
        <w:rPr>
          <w:sz w:val="24"/>
          <w:szCs w:val="24"/>
          <w:lang w:val="es-ES"/>
        </w:rPr>
        <w:t>sobre el uso y el cumplimiento de la Ley por parte de los ciudadanos y los sujetos obligados, respectivamente. Por esta razón, el componente de capacitación y promoción fue estratégico</w:t>
      </w:r>
      <w:r w:rsidR="0019323B">
        <w:rPr>
          <w:sz w:val="24"/>
          <w:szCs w:val="24"/>
          <w:lang w:val="es-ES"/>
        </w:rPr>
        <w:t xml:space="preserve"> en el 2014</w:t>
      </w:r>
      <w:r w:rsidR="004D23BE">
        <w:rPr>
          <w:sz w:val="24"/>
          <w:szCs w:val="24"/>
          <w:lang w:val="es-ES"/>
        </w:rPr>
        <w:t xml:space="preserve"> al orientar a los actores interesados sobre el contenido de la Ley. </w:t>
      </w:r>
      <w:r w:rsidR="00A74625" w:rsidRPr="00A74625">
        <w:rPr>
          <w:sz w:val="24"/>
          <w:szCs w:val="24"/>
          <w:lang w:val="es-CO"/>
        </w:rPr>
        <w:t xml:space="preserve">Durante el último semestre de 2014 </w:t>
      </w:r>
      <w:r w:rsidR="004D23BE">
        <w:rPr>
          <w:sz w:val="24"/>
          <w:szCs w:val="24"/>
          <w:lang w:val="es-CO"/>
        </w:rPr>
        <w:t>se participó en 31</w:t>
      </w:r>
      <w:r w:rsidR="00560FB0">
        <w:rPr>
          <w:sz w:val="24"/>
          <w:szCs w:val="24"/>
          <w:lang w:val="es-CO"/>
        </w:rPr>
        <w:t xml:space="preserve"> eventos de capacitación y promoción de la Ley </w:t>
      </w:r>
      <w:r w:rsidR="00093766">
        <w:rPr>
          <w:sz w:val="24"/>
          <w:szCs w:val="24"/>
          <w:lang w:val="es-CO"/>
        </w:rPr>
        <w:t xml:space="preserve">en 16 diferentes municipios del país </w:t>
      </w:r>
      <w:r w:rsidR="007851B8">
        <w:rPr>
          <w:sz w:val="24"/>
          <w:szCs w:val="24"/>
          <w:lang w:val="es-CO"/>
        </w:rPr>
        <w:t xml:space="preserve">en los </w:t>
      </w:r>
      <w:r w:rsidR="00560FB0">
        <w:rPr>
          <w:sz w:val="24"/>
          <w:szCs w:val="24"/>
          <w:lang w:val="es-CO"/>
        </w:rPr>
        <w:t xml:space="preserve">que asistieron </w:t>
      </w:r>
      <w:r w:rsidR="0019323B">
        <w:rPr>
          <w:sz w:val="24"/>
          <w:szCs w:val="24"/>
          <w:lang w:val="es-CO"/>
        </w:rPr>
        <w:t>4</w:t>
      </w:r>
      <w:r w:rsidR="007851B8">
        <w:rPr>
          <w:sz w:val="24"/>
          <w:szCs w:val="24"/>
          <w:lang w:val="es-CO"/>
        </w:rPr>
        <w:t>.</w:t>
      </w:r>
      <w:r w:rsidR="0019323B">
        <w:rPr>
          <w:sz w:val="24"/>
          <w:szCs w:val="24"/>
          <w:lang w:val="es-CO"/>
        </w:rPr>
        <w:t xml:space="preserve">025 personas. </w:t>
      </w:r>
    </w:p>
    <w:p w:rsidR="0019323B" w:rsidRDefault="0019323B" w:rsidP="004D23BE">
      <w:pPr>
        <w:ind w:firstLine="360"/>
        <w:jc w:val="both"/>
        <w:rPr>
          <w:sz w:val="24"/>
          <w:szCs w:val="24"/>
          <w:lang w:val="es-CO"/>
        </w:rPr>
      </w:pPr>
    </w:p>
    <w:p w:rsidR="0019323B" w:rsidRDefault="0019323B" w:rsidP="004D23BE">
      <w:pPr>
        <w:ind w:firstLine="360"/>
        <w:jc w:val="both"/>
        <w:rPr>
          <w:sz w:val="24"/>
          <w:szCs w:val="24"/>
          <w:lang w:val="es-CO"/>
        </w:rPr>
      </w:pPr>
      <w:r>
        <w:rPr>
          <w:sz w:val="24"/>
          <w:szCs w:val="24"/>
          <w:lang w:val="es-CO"/>
        </w:rPr>
        <w:t xml:space="preserve">En el área de capacitación </w:t>
      </w:r>
      <w:r w:rsidR="007851B8">
        <w:rPr>
          <w:sz w:val="24"/>
          <w:szCs w:val="24"/>
          <w:lang w:val="es-CO"/>
        </w:rPr>
        <w:t xml:space="preserve">se creó </w:t>
      </w:r>
      <w:r w:rsidR="00B270D0">
        <w:rPr>
          <w:sz w:val="24"/>
          <w:szCs w:val="24"/>
          <w:lang w:val="es-CO"/>
        </w:rPr>
        <w:t xml:space="preserve">una </w:t>
      </w:r>
      <w:r>
        <w:rPr>
          <w:sz w:val="24"/>
          <w:szCs w:val="24"/>
          <w:lang w:val="es-CO"/>
        </w:rPr>
        <w:t>alianza con la Secretaría de la Transparencia de la Presidencia de la República, el Instituto de Estudios del Ministerio Público, FENALPER</w:t>
      </w:r>
      <w:r w:rsidR="00B270D0">
        <w:rPr>
          <w:sz w:val="24"/>
          <w:szCs w:val="24"/>
          <w:lang w:val="es-CO"/>
        </w:rPr>
        <w:t xml:space="preserve">, </w:t>
      </w:r>
      <w:r>
        <w:rPr>
          <w:sz w:val="24"/>
          <w:szCs w:val="24"/>
          <w:lang w:val="es-CO"/>
        </w:rPr>
        <w:t>la Unión Europea y el GTDAIP</w:t>
      </w:r>
      <w:r w:rsidR="00B270D0">
        <w:rPr>
          <w:sz w:val="24"/>
          <w:szCs w:val="24"/>
          <w:lang w:val="es-CO"/>
        </w:rPr>
        <w:t xml:space="preserve"> que permitió llevar a cabo a satisfacción 7 talleres destinados a personeros y funcionarios de la Procuraduría y la Defensoría del Pueblo con el fin de fortalecer las capacidades internas del Ministerio Público. </w:t>
      </w:r>
    </w:p>
    <w:p w:rsidR="00B270D0" w:rsidRDefault="00B270D0" w:rsidP="004D23BE">
      <w:pPr>
        <w:ind w:firstLine="360"/>
        <w:jc w:val="both"/>
        <w:rPr>
          <w:sz w:val="24"/>
          <w:szCs w:val="24"/>
          <w:lang w:val="es-CO"/>
        </w:rPr>
      </w:pPr>
    </w:p>
    <w:p w:rsidR="007962BC" w:rsidRDefault="005516AC" w:rsidP="007962BC">
      <w:pPr>
        <w:ind w:firstLine="360"/>
        <w:jc w:val="both"/>
        <w:rPr>
          <w:sz w:val="24"/>
          <w:szCs w:val="24"/>
          <w:lang w:val="es-CO"/>
        </w:rPr>
      </w:pPr>
      <w:r>
        <w:rPr>
          <w:sz w:val="24"/>
          <w:szCs w:val="24"/>
          <w:lang w:val="es-CO"/>
        </w:rPr>
        <w:t xml:space="preserve">En cuanto al área de promoción, se destaca el trabajo realizado con la Comisión Regional de Moralización de Antioquia a través del cual se visitaron 6 provincias de dicho departamento. Igualmente, gracias a la invitación de la Delegada de Función Pública a participar en la III Semana de la Participación Ciudadana, se logró difundir la Ley entre veedores ciudadanos y organizaciones civiles. </w:t>
      </w:r>
      <w:r w:rsidR="00C51B15">
        <w:rPr>
          <w:sz w:val="24"/>
          <w:szCs w:val="24"/>
          <w:lang w:val="es-CO"/>
        </w:rPr>
        <w:t>Por último, el GTDAIP y la Secretaría para la Transparencia con el apoyo de</w:t>
      </w:r>
      <w:r w:rsidR="0065746F">
        <w:rPr>
          <w:sz w:val="24"/>
          <w:szCs w:val="24"/>
          <w:lang w:val="es-CO"/>
        </w:rPr>
        <w:t xml:space="preserve"> la sociedad civil,</w:t>
      </w:r>
      <w:r w:rsidR="00450939">
        <w:rPr>
          <w:sz w:val="24"/>
          <w:szCs w:val="24"/>
          <w:lang w:val="es-CO"/>
        </w:rPr>
        <w:t xml:space="preserve"> </w:t>
      </w:r>
      <w:proofErr w:type="spellStart"/>
      <w:r w:rsidR="00450939">
        <w:rPr>
          <w:sz w:val="24"/>
          <w:szCs w:val="24"/>
          <w:lang w:val="es-CO"/>
        </w:rPr>
        <w:t>EUROSociAL</w:t>
      </w:r>
      <w:proofErr w:type="spellEnd"/>
      <w:r w:rsidR="00450939">
        <w:rPr>
          <w:sz w:val="24"/>
          <w:szCs w:val="24"/>
          <w:lang w:val="es-CO"/>
        </w:rPr>
        <w:t xml:space="preserve"> II y la </w:t>
      </w:r>
      <w:r w:rsidR="00450939" w:rsidRPr="00450939">
        <w:rPr>
          <w:sz w:val="24"/>
          <w:szCs w:val="24"/>
          <w:lang w:val="es-CO"/>
        </w:rPr>
        <w:t>Unidad Ejecutora</w:t>
      </w:r>
      <w:r w:rsidR="0065746F">
        <w:rPr>
          <w:sz w:val="24"/>
          <w:szCs w:val="24"/>
          <w:lang w:val="es-CO"/>
        </w:rPr>
        <w:t xml:space="preserve"> PGN-</w:t>
      </w:r>
      <w:r w:rsidR="007851B8">
        <w:rPr>
          <w:sz w:val="24"/>
          <w:szCs w:val="24"/>
          <w:lang w:val="es-CO"/>
        </w:rPr>
        <w:t xml:space="preserve">BID </w:t>
      </w:r>
      <w:r w:rsidR="00C51B15">
        <w:rPr>
          <w:sz w:val="24"/>
          <w:szCs w:val="24"/>
          <w:lang w:val="es-CO"/>
        </w:rPr>
        <w:t>organizaron e</w:t>
      </w:r>
      <w:r w:rsidR="0065746F">
        <w:rPr>
          <w:sz w:val="24"/>
          <w:szCs w:val="24"/>
          <w:lang w:val="es-CO"/>
        </w:rPr>
        <w:t>l f</w:t>
      </w:r>
      <w:r w:rsidR="00C51B15">
        <w:rPr>
          <w:sz w:val="24"/>
          <w:szCs w:val="24"/>
          <w:lang w:val="es-CO"/>
        </w:rPr>
        <w:t xml:space="preserve">oro </w:t>
      </w:r>
      <w:r w:rsidR="0065746F">
        <w:rPr>
          <w:sz w:val="24"/>
          <w:szCs w:val="24"/>
          <w:lang w:val="es-CO"/>
        </w:rPr>
        <w:t>“R</w:t>
      </w:r>
      <w:r w:rsidR="00C51B15">
        <w:rPr>
          <w:sz w:val="24"/>
          <w:szCs w:val="24"/>
          <w:lang w:val="es-CO"/>
        </w:rPr>
        <w:t xml:space="preserve">etos sobre la Implementación y </w:t>
      </w:r>
      <w:r w:rsidR="0065746F">
        <w:rPr>
          <w:sz w:val="24"/>
          <w:szCs w:val="24"/>
          <w:lang w:val="es-CO"/>
        </w:rPr>
        <w:t>V</w:t>
      </w:r>
      <w:r w:rsidR="00C51B15">
        <w:rPr>
          <w:sz w:val="24"/>
          <w:szCs w:val="24"/>
          <w:lang w:val="es-CO"/>
        </w:rPr>
        <w:t>igilancia de Ley</w:t>
      </w:r>
      <w:r w:rsidR="0065746F">
        <w:rPr>
          <w:sz w:val="24"/>
          <w:szCs w:val="24"/>
          <w:lang w:val="es-CO"/>
        </w:rPr>
        <w:t xml:space="preserve"> Transparencia y </w:t>
      </w:r>
      <w:r w:rsidR="00C51B15">
        <w:rPr>
          <w:sz w:val="24"/>
          <w:szCs w:val="24"/>
          <w:lang w:val="es-CO"/>
        </w:rPr>
        <w:t>Acceso a la Información</w:t>
      </w:r>
      <w:r w:rsidR="0065746F">
        <w:rPr>
          <w:sz w:val="24"/>
          <w:szCs w:val="24"/>
          <w:lang w:val="es-CO"/>
        </w:rPr>
        <w:t>: Una mirada comparada entre Colombia y C</w:t>
      </w:r>
      <w:r w:rsidR="007851B8">
        <w:rPr>
          <w:sz w:val="24"/>
          <w:szCs w:val="24"/>
          <w:lang w:val="es-CO"/>
        </w:rPr>
        <w:t xml:space="preserve">hile”. Dada la acogida del público a </w:t>
      </w:r>
      <w:r w:rsidR="0065746F">
        <w:rPr>
          <w:sz w:val="24"/>
          <w:szCs w:val="24"/>
          <w:lang w:val="es-CO"/>
        </w:rPr>
        <w:t>este foro debió habilitarse la sala de audiencias adicionalmente al auditorio principal de la PGN para poder acomodar a los 280 asistentes.</w:t>
      </w:r>
      <w:r w:rsidR="007962BC">
        <w:rPr>
          <w:sz w:val="24"/>
          <w:szCs w:val="24"/>
          <w:lang w:val="es-CO"/>
        </w:rPr>
        <w:t xml:space="preserve"> </w:t>
      </w:r>
    </w:p>
    <w:p w:rsidR="005516AC" w:rsidRDefault="005516AC" w:rsidP="004D23BE">
      <w:pPr>
        <w:ind w:firstLine="360"/>
        <w:jc w:val="both"/>
        <w:rPr>
          <w:sz w:val="24"/>
          <w:szCs w:val="24"/>
          <w:lang w:val="es-CO"/>
        </w:rPr>
      </w:pPr>
    </w:p>
    <w:p w:rsidR="00C44992" w:rsidRDefault="007F0051" w:rsidP="00C44992">
      <w:pPr>
        <w:ind w:firstLine="360"/>
        <w:jc w:val="both"/>
        <w:rPr>
          <w:sz w:val="24"/>
          <w:szCs w:val="24"/>
          <w:lang w:val="es-CO"/>
        </w:rPr>
      </w:pPr>
      <w:r>
        <w:rPr>
          <w:sz w:val="24"/>
          <w:szCs w:val="24"/>
          <w:lang w:val="es-CO"/>
        </w:rPr>
        <w:t xml:space="preserve">Durante el 2014 </w:t>
      </w:r>
      <w:r w:rsidR="007851B8">
        <w:rPr>
          <w:sz w:val="24"/>
          <w:szCs w:val="24"/>
          <w:lang w:val="es-CO"/>
        </w:rPr>
        <w:t xml:space="preserve">se </w:t>
      </w:r>
      <w:r w:rsidR="00C44992">
        <w:rPr>
          <w:sz w:val="24"/>
          <w:szCs w:val="24"/>
          <w:lang w:val="es-CO"/>
        </w:rPr>
        <w:t xml:space="preserve">fortalecieron </w:t>
      </w:r>
      <w:r>
        <w:rPr>
          <w:sz w:val="24"/>
          <w:szCs w:val="24"/>
          <w:lang w:val="es-CO"/>
        </w:rPr>
        <w:t>las actividades de capacitación y promoción a través de la elaboraci</w:t>
      </w:r>
      <w:r w:rsidR="00C44992">
        <w:rPr>
          <w:sz w:val="24"/>
          <w:szCs w:val="24"/>
          <w:lang w:val="es-CO"/>
        </w:rPr>
        <w:t xml:space="preserve">ón de un primer borrador de la </w:t>
      </w:r>
      <w:r>
        <w:rPr>
          <w:sz w:val="24"/>
          <w:szCs w:val="24"/>
          <w:lang w:val="es-CO"/>
        </w:rPr>
        <w:t xml:space="preserve">Guía del Derecho de Acceso a la Información Pública </w:t>
      </w:r>
      <w:r w:rsidR="00C44992">
        <w:rPr>
          <w:sz w:val="24"/>
          <w:szCs w:val="24"/>
          <w:lang w:val="es-CO"/>
        </w:rPr>
        <w:t xml:space="preserve">y de la adaptación de metodologías pedagógicas exitosas como las utilizadas por el Consejo para la Transparencia de Chile. </w:t>
      </w:r>
    </w:p>
    <w:p w:rsidR="003C4EFF" w:rsidRDefault="003C4EFF" w:rsidP="00C44992">
      <w:pPr>
        <w:ind w:firstLine="360"/>
        <w:jc w:val="both"/>
        <w:rPr>
          <w:sz w:val="24"/>
          <w:szCs w:val="24"/>
          <w:lang w:val="es-CO"/>
        </w:rPr>
      </w:pPr>
    </w:p>
    <w:p w:rsidR="00156AFF" w:rsidRDefault="00156AFF" w:rsidP="00C44992">
      <w:pPr>
        <w:ind w:firstLine="360"/>
        <w:jc w:val="both"/>
        <w:rPr>
          <w:sz w:val="24"/>
          <w:szCs w:val="24"/>
          <w:lang w:val="es-CO"/>
        </w:rPr>
      </w:pPr>
    </w:p>
    <w:p w:rsidR="00402C09" w:rsidRDefault="005542C6" w:rsidP="00156AFF">
      <w:pPr>
        <w:ind w:firstLine="360"/>
        <w:jc w:val="both"/>
        <w:rPr>
          <w:sz w:val="24"/>
          <w:szCs w:val="24"/>
          <w:lang w:val="es-ES"/>
        </w:rPr>
      </w:pPr>
      <w:r>
        <w:rPr>
          <w:b/>
          <w:sz w:val="24"/>
          <w:szCs w:val="24"/>
          <w:lang w:val="es-ES"/>
        </w:rPr>
        <w:t>2</w:t>
      </w:r>
      <w:r w:rsidR="00156AFF">
        <w:rPr>
          <w:b/>
          <w:sz w:val="24"/>
          <w:szCs w:val="24"/>
          <w:lang w:val="es-ES"/>
        </w:rPr>
        <w:t>.5</w:t>
      </w:r>
      <w:r w:rsidR="00156AFF" w:rsidRPr="00571C40">
        <w:rPr>
          <w:b/>
          <w:sz w:val="24"/>
          <w:szCs w:val="24"/>
          <w:lang w:val="es-ES"/>
        </w:rPr>
        <w:t>.</w:t>
      </w:r>
      <w:r w:rsidR="00156AFF">
        <w:rPr>
          <w:b/>
          <w:sz w:val="24"/>
          <w:szCs w:val="24"/>
          <w:lang w:val="es-ES"/>
        </w:rPr>
        <w:t xml:space="preserve"> Procedimiento especial de solicitud de información con identificación reservada</w:t>
      </w:r>
      <w:r w:rsidR="00F46FF5">
        <w:rPr>
          <w:b/>
          <w:sz w:val="24"/>
          <w:szCs w:val="24"/>
          <w:lang w:val="es-ES"/>
        </w:rPr>
        <w:t xml:space="preserve"> (PESIR)</w:t>
      </w:r>
      <w:r w:rsidR="00156AFF" w:rsidRPr="003E0D67">
        <w:rPr>
          <w:sz w:val="24"/>
          <w:szCs w:val="24"/>
          <w:lang w:val="es-ES"/>
        </w:rPr>
        <w:t xml:space="preserve">. </w:t>
      </w:r>
      <w:r w:rsidR="00156AFF">
        <w:rPr>
          <w:sz w:val="24"/>
          <w:szCs w:val="24"/>
          <w:lang w:val="es-ES"/>
        </w:rPr>
        <w:t xml:space="preserve">A través de la resolución 282 de 2014 se emitieron los principales lineamientos sobre </w:t>
      </w:r>
      <w:r w:rsidR="00F46FF5">
        <w:rPr>
          <w:sz w:val="24"/>
          <w:szCs w:val="24"/>
          <w:lang w:val="es-ES"/>
        </w:rPr>
        <w:t>el PES</w:t>
      </w:r>
      <w:r w:rsidR="00865114">
        <w:rPr>
          <w:sz w:val="24"/>
          <w:szCs w:val="24"/>
          <w:lang w:val="es-ES"/>
        </w:rPr>
        <w:t>I</w:t>
      </w:r>
      <w:r w:rsidR="00F46FF5">
        <w:rPr>
          <w:sz w:val="24"/>
          <w:szCs w:val="24"/>
          <w:lang w:val="es-ES"/>
        </w:rPr>
        <w:t xml:space="preserve">R </w:t>
      </w:r>
      <w:r w:rsidR="00156AFF">
        <w:rPr>
          <w:sz w:val="24"/>
          <w:szCs w:val="24"/>
          <w:lang w:val="es-ES"/>
        </w:rPr>
        <w:t xml:space="preserve">donde se aclaran los requisitos básicos y las instancias del Ministerio Público que pueden adelantar dicho procedimiento. Asimismo, </w:t>
      </w:r>
      <w:r w:rsidR="00402C09">
        <w:rPr>
          <w:sz w:val="24"/>
          <w:szCs w:val="24"/>
          <w:lang w:val="es-ES"/>
        </w:rPr>
        <w:t>se diseñaron</w:t>
      </w:r>
      <w:r w:rsidR="00156AFF">
        <w:rPr>
          <w:sz w:val="24"/>
          <w:szCs w:val="24"/>
          <w:lang w:val="es-ES"/>
        </w:rPr>
        <w:t xml:space="preserve"> formatos e instructivos sobre </w:t>
      </w:r>
      <w:r w:rsidR="00F46FF5">
        <w:rPr>
          <w:sz w:val="24"/>
          <w:szCs w:val="24"/>
          <w:lang w:val="es-ES"/>
        </w:rPr>
        <w:t>el PESIR,</w:t>
      </w:r>
      <w:r w:rsidR="00156AFF">
        <w:rPr>
          <w:sz w:val="24"/>
          <w:szCs w:val="24"/>
          <w:lang w:val="es-ES"/>
        </w:rPr>
        <w:t xml:space="preserve"> los cuales se encuentran consignados </w:t>
      </w:r>
      <w:r w:rsidR="007851B8">
        <w:rPr>
          <w:sz w:val="24"/>
          <w:szCs w:val="24"/>
          <w:lang w:val="es-ES"/>
        </w:rPr>
        <w:t xml:space="preserve">en </w:t>
      </w:r>
      <w:r w:rsidR="00156AFF">
        <w:rPr>
          <w:sz w:val="24"/>
          <w:szCs w:val="24"/>
          <w:lang w:val="es-ES"/>
        </w:rPr>
        <w:t xml:space="preserve">el </w:t>
      </w:r>
      <w:proofErr w:type="spellStart"/>
      <w:r w:rsidR="00156AFF">
        <w:rPr>
          <w:sz w:val="24"/>
          <w:szCs w:val="24"/>
          <w:lang w:val="es-ES"/>
        </w:rPr>
        <w:t>micrositio</w:t>
      </w:r>
      <w:proofErr w:type="spellEnd"/>
      <w:r w:rsidR="00156AFF">
        <w:rPr>
          <w:sz w:val="24"/>
          <w:szCs w:val="24"/>
          <w:lang w:val="es-ES"/>
        </w:rPr>
        <w:t xml:space="preserve"> web del Grupo. </w:t>
      </w:r>
      <w:r w:rsidR="00F46FF5">
        <w:rPr>
          <w:sz w:val="24"/>
          <w:szCs w:val="24"/>
          <w:lang w:val="es-ES"/>
        </w:rPr>
        <w:t xml:space="preserve">Por último, con el apoyo de la Oficina de Sistemas de la PGN se habilitó al público a través de la página web de la PGN un canal </w:t>
      </w:r>
      <w:r w:rsidR="007851B8">
        <w:rPr>
          <w:sz w:val="24"/>
          <w:szCs w:val="24"/>
          <w:lang w:val="es-ES"/>
        </w:rPr>
        <w:t xml:space="preserve">especial </w:t>
      </w:r>
      <w:r w:rsidR="00F46FF5">
        <w:rPr>
          <w:sz w:val="24"/>
          <w:szCs w:val="24"/>
          <w:lang w:val="es-ES"/>
        </w:rPr>
        <w:t>para poder adelantar el PES</w:t>
      </w:r>
      <w:r w:rsidR="00865114">
        <w:rPr>
          <w:sz w:val="24"/>
          <w:szCs w:val="24"/>
          <w:lang w:val="es-ES"/>
        </w:rPr>
        <w:t>I</w:t>
      </w:r>
      <w:r w:rsidR="00F46FF5">
        <w:rPr>
          <w:sz w:val="24"/>
          <w:szCs w:val="24"/>
          <w:lang w:val="es-ES"/>
        </w:rPr>
        <w:t xml:space="preserve">IR </w:t>
      </w:r>
      <w:r w:rsidR="00402C09">
        <w:rPr>
          <w:sz w:val="24"/>
          <w:szCs w:val="24"/>
          <w:lang w:val="es-ES"/>
        </w:rPr>
        <w:t>siguiendo el principio de facilitación contenido en la Ley 1712 y los lineamientos de Gobierno en Línea. A través del canal web, ingresaron 49 solicitudes, y por medio físico ingresó una solicitud, de las cuales una fue tramitada y el resto están en etapa de análisis.</w:t>
      </w:r>
    </w:p>
    <w:p w:rsidR="00156AFF" w:rsidRDefault="00156AFF" w:rsidP="00156AFF">
      <w:pPr>
        <w:ind w:firstLine="360"/>
        <w:jc w:val="both"/>
        <w:rPr>
          <w:sz w:val="24"/>
          <w:szCs w:val="24"/>
          <w:lang w:val="es-ES"/>
        </w:rPr>
      </w:pPr>
    </w:p>
    <w:p w:rsidR="007962BC" w:rsidRDefault="005542C6" w:rsidP="00BB44E6">
      <w:pPr>
        <w:ind w:firstLine="360"/>
        <w:jc w:val="both"/>
        <w:rPr>
          <w:sz w:val="24"/>
          <w:szCs w:val="24"/>
          <w:lang w:val="es-ES"/>
        </w:rPr>
      </w:pPr>
      <w:r>
        <w:rPr>
          <w:b/>
          <w:sz w:val="24"/>
          <w:szCs w:val="24"/>
          <w:lang w:val="es-ES"/>
        </w:rPr>
        <w:t>2</w:t>
      </w:r>
      <w:r w:rsidR="00191041">
        <w:rPr>
          <w:b/>
          <w:sz w:val="24"/>
          <w:szCs w:val="24"/>
          <w:lang w:val="es-ES"/>
        </w:rPr>
        <w:t>.6</w:t>
      </w:r>
      <w:r w:rsidR="00BB44E6" w:rsidRPr="00571C40">
        <w:rPr>
          <w:b/>
          <w:sz w:val="24"/>
          <w:szCs w:val="24"/>
          <w:lang w:val="es-ES"/>
        </w:rPr>
        <w:t>.</w:t>
      </w:r>
      <w:r w:rsidR="00BB44E6">
        <w:rPr>
          <w:b/>
          <w:sz w:val="24"/>
          <w:szCs w:val="24"/>
          <w:lang w:val="es-ES"/>
        </w:rPr>
        <w:t xml:space="preserve"> Líneas de apoyo</w:t>
      </w:r>
      <w:r w:rsidR="00220DDC">
        <w:rPr>
          <w:sz w:val="24"/>
          <w:szCs w:val="24"/>
          <w:lang w:val="es-ES"/>
        </w:rPr>
        <w:t>:</w:t>
      </w:r>
      <w:r w:rsidR="00BB44E6" w:rsidRPr="003E0D67">
        <w:rPr>
          <w:sz w:val="24"/>
          <w:szCs w:val="24"/>
          <w:lang w:val="es-ES"/>
        </w:rPr>
        <w:t xml:space="preserve"> </w:t>
      </w:r>
    </w:p>
    <w:p w:rsidR="007962BC" w:rsidRDefault="007962BC" w:rsidP="00BB44E6">
      <w:pPr>
        <w:ind w:firstLine="360"/>
        <w:jc w:val="both"/>
        <w:rPr>
          <w:sz w:val="24"/>
          <w:szCs w:val="24"/>
          <w:lang w:val="es-ES"/>
        </w:rPr>
      </w:pPr>
    </w:p>
    <w:p w:rsidR="00BB44E6" w:rsidRDefault="009E54DC" w:rsidP="00BB44E6">
      <w:pPr>
        <w:ind w:firstLine="360"/>
        <w:jc w:val="both"/>
        <w:rPr>
          <w:sz w:val="24"/>
          <w:szCs w:val="24"/>
          <w:lang w:val="es-ES"/>
        </w:rPr>
      </w:pPr>
      <w:r>
        <w:rPr>
          <w:sz w:val="24"/>
          <w:szCs w:val="24"/>
          <w:lang w:val="es-ES"/>
        </w:rPr>
        <w:t xml:space="preserve">La </w:t>
      </w:r>
      <w:r w:rsidR="00CB5BD1" w:rsidRPr="007962BC">
        <w:rPr>
          <w:b/>
          <w:sz w:val="24"/>
          <w:szCs w:val="24"/>
          <w:lang w:val="es-ES"/>
        </w:rPr>
        <w:t xml:space="preserve">línea </w:t>
      </w:r>
      <w:r w:rsidRPr="007962BC">
        <w:rPr>
          <w:b/>
          <w:sz w:val="24"/>
          <w:szCs w:val="24"/>
          <w:lang w:val="es-ES"/>
        </w:rPr>
        <w:t>jurídica</w:t>
      </w:r>
      <w:r>
        <w:rPr>
          <w:sz w:val="24"/>
          <w:szCs w:val="24"/>
          <w:lang w:val="es-ES"/>
        </w:rPr>
        <w:t xml:space="preserve"> del GTDAIP </w:t>
      </w:r>
      <w:r w:rsidR="00A97577">
        <w:rPr>
          <w:sz w:val="24"/>
          <w:szCs w:val="24"/>
          <w:lang w:val="es-ES"/>
        </w:rPr>
        <w:t>recibió 60 consultas de las cuales resolvió 34 y 26 fueron remitidas por competencia.</w:t>
      </w:r>
      <w:r w:rsidR="003E33A9">
        <w:rPr>
          <w:sz w:val="24"/>
          <w:szCs w:val="24"/>
          <w:lang w:val="es-ES"/>
        </w:rPr>
        <w:t xml:space="preserve"> Asimismo, se resolvieron 20 consultas por vía telefónica. Se respondió a un cuestionario de 24 preguntas </w:t>
      </w:r>
      <w:r w:rsidR="007851B8">
        <w:rPr>
          <w:sz w:val="24"/>
          <w:szCs w:val="24"/>
          <w:lang w:val="es-ES"/>
        </w:rPr>
        <w:t>por parte del Congreso de la R</w:t>
      </w:r>
      <w:r w:rsidR="003E33A9">
        <w:rPr>
          <w:sz w:val="24"/>
          <w:szCs w:val="24"/>
          <w:lang w:val="es-ES"/>
        </w:rPr>
        <w:t>epública (Proposición 19 de la Comisión</w:t>
      </w:r>
      <w:r w:rsidR="00B161EA">
        <w:rPr>
          <w:sz w:val="24"/>
          <w:szCs w:val="24"/>
          <w:lang w:val="es-ES"/>
        </w:rPr>
        <w:t xml:space="preserve"> Segunda</w:t>
      </w:r>
      <w:r w:rsidR="003E33A9">
        <w:rPr>
          <w:sz w:val="24"/>
          <w:szCs w:val="24"/>
          <w:lang w:val="es-ES"/>
        </w:rPr>
        <w:t xml:space="preserve"> del Senado). Y se proyectaron los diferentes actos administrativos para firma del Procurador General de la Nación relacionados con la Ley 1712 de 2014 (dos resoluciones</w:t>
      </w:r>
      <w:r w:rsidR="002770FA">
        <w:rPr>
          <w:sz w:val="24"/>
          <w:szCs w:val="24"/>
          <w:lang w:val="es-ES"/>
        </w:rPr>
        <w:t xml:space="preserve"> firmadas y</w:t>
      </w:r>
      <w:r w:rsidR="003E33A9">
        <w:rPr>
          <w:sz w:val="24"/>
          <w:szCs w:val="24"/>
          <w:lang w:val="es-ES"/>
        </w:rPr>
        <w:t xml:space="preserve"> una resolución </w:t>
      </w:r>
      <w:r w:rsidR="00D27690">
        <w:rPr>
          <w:sz w:val="24"/>
          <w:szCs w:val="24"/>
          <w:lang w:val="es-ES"/>
        </w:rPr>
        <w:t xml:space="preserve">y una circular </w:t>
      </w:r>
      <w:r w:rsidR="002770FA">
        <w:rPr>
          <w:sz w:val="24"/>
          <w:szCs w:val="24"/>
          <w:lang w:val="es-ES"/>
        </w:rPr>
        <w:t xml:space="preserve">ya fueron proyectadas y están </w:t>
      </w:r>
      <w:r w:rsidR="003E33A9">
        <w:rPr>
          <w:sz w:val="24"/>
          <w:szCs w:val="24"/>
          <w:lang w:val="es-ES"/>
        </w:rPr>
        <w:t>en trámite</w:t>
      </w:r>
      <w:r w:rsidR="002770FA">
        <w:rPr>
          <w:sz w:val="24"/>
          <w:szCs w:val="24"/>
          <w:lang w:val="es-ES"/>
        </w:rPr>
        <w:t xml:space="preserve"> de aprobación</w:t>
      </w:r>
      <w:r w:rsidR="00D27690">
        <w:rPr>
          <w:sz w:val="24"/>
          <w:szCs w:val="24"/>
          <w:lang w:val="es-ES"/>
        </w:rPr>
        <w:t>)</w:t>
      </w:r>
      <w:r w:rsidR="003E33A9">
        <w:rPr>
          <w:sz w:val="24"/>
          <w:szCs w:val="24"/>
          <w:lang w:val="es-ES"/>
        </w:rPr>
        <w:t xml:space="preserve">.  </w:t>
      </w:r>
    </w:p>
    <w:p w:rsidR="00FF465A" w:rsidRDefault="00FF465A" w:rsidP="00BB44E6">
      <w:pPr>
        <w:ind w:firstLine="360"/>
        <w:jc w:val="both"/>
        <w:rPr>
          <w:sz w:val="24"/>
          <w:szCs w:val="24"/>
          <w:lang w:val="es-CO"/>
        </w:rPr>
      </w:pPr>
    </w:p>
    <w:p w:rsidR="002770FA" w:rsidRDefault="001C1A7B" w:rsidP="001C1A7B">
      <w:pPr>
        <w:ind w:firstLine="360"/>
        <w:jc w:val="both"/>
        <w:rPr>
          <w:sz w:val="24"/>
          <w:szCs w:val="24"/>
          <w:lang w:val="es-CO"/>
        </w:rPr>
      </w:pPr>
      <w:r>
        <w:rPr>
          <w:sz w:val="24"/>
          <w:szCs w:val="24"/>
          <w:lang w:val="es-CO"/>
        </w:rPr>
        <w:t xml:space="preserve">A través de la </w:t>
      </w:r>
      <w:r w:rsidRPr="007962BC">
        <w:rPr>
          <w:b/>
          <w:sz w:val="24"/>
          <w:szCs w:val="24"/>
          <w:lang w:val="es-CO"/>
        </w:rPr>
        <w:t>línea de comunicaciones</w:t>
      </w:r>
      <w:r>
        <w:rPr>
          <w:sz w:val="24"/>
          <w:szCs w:val="24"/>
          <w:lang w:val="es-CO"/>
        </w:rPr>
        <w:t xml:space="preserve"> </w:t>
      </w:r>
      <w:r w:rsidR="002770FA">
        <w:rPr>
          <w:sz w:val="24"/>
          <w:szCs w:val="24"/>
          <w:lang w:val="es-CO"/>
        </w:rPr>
        <w:t>se llevaron a cabo las siguientes actividades: S</w:t>
      </w:r>
      <w:r>
        <w:rPr>
          <w:sz w:val="24"/>
          <w:szCs w:val="24"/>
          <w:lang w:val="es-CO"/>
        </w:rPr>
        <w:t xml:space="preserve">e puso en marcha el </w:t>
      </w:r>
      <w:proofErr w:type="spellStart"/>
      <w:r>
        <w:rPr>
          <w:sz w:val="24"/>
          <w:szCs w:val="24"/>
          <w:lang w:val="es-CO"/>
        </w:rPr>
        <w:t>micrositio</w:t>
      </w:r>
      <w:proofErr w:type="spellEnd"/>
      <w:r>
        <w:rPr>
          <w:sz w:val="24"/>
          <w:szCs w:val="24"/>
          <w:lang w:val="es-CO"/>
        </w:rPr>
        <w:t xml:space="preserve"> del GTDAIP con información relevante sobre la Ley y el Grupo de cara al ciudadano y a los sujetos obligados</w:t>
      </w:r>
      <w:r w:rsidR="002770FA">
        <w:rPr>
          <w:sz w:val="24"/>
          <w:szCs w:val="24"/>
          <w:lang w:val="es-CO"/>
        </w:rPr>
        <w:t xml:space="preserve"> (más de 23 archivos</w:t>
      </w:r>
      <w:r w:rsidR="00B161EA">
        <w:rPr>
          <w:sz w:val="24"/>
          <w:szCs w:val="24"/>
          <w:lang w:val="es-CO"/>
        </w:rPr>
        <w:t xml:space="preserve"> cargados</w:t>
      </w:r>
      <w:r w:rsidR="002770FA">
        <w:rPr>
          <w:sz w:val="24"/>
          <w:szCs w:val="24"/>
          <w:lang w:val="es-CO"/>
        </w:rPr>
        <w:t>)</w:t>
      </w:r>
      <w:r>
        <w:rPr>
          <w:sz w:val="24"/>
          <w:szCs w:val="24"/>
          <w:lang w:val="es-CO"/>
        </w:rPr>
        <w:t xml:space="preserve">. Por ejemplo, a través del </w:t>
      </w:r>
      <w:proofErr w:type="spellStart"/>
      <w:r>
        <w:rPr>
          <w:sz w:val="24"/>
          <w:szCs w:val="24"/>
          <w:lang w:val="es-CO"/>
        </w:rPr>
        <w:t>micrositio</w:t>
      </w:r>
      <w:proofErr w:type="spellEnd"/>
      <w:r>
        <w:rPr>
          <w:sz w:val="24"/>
          <w:szCs w:val="24"/>
          <w:lang w:val="es-CO"/>
        </w:rPr>
        <w:t xml:space="preserve"> los sujetos obligados pudieron descargar en datos abiertos la matriz de autodiagnóstico sobre el cumplimiento de la ley 1712 de 2014 lo que facilitó</w:t>
      </w:r>
      <w:r w:rsidR="00071A09">
        <w:rPr>
          <w:sz w:val="24"/>
          <w:szCs w:val="24"/>
          <w:lang w:val="es-CO"/>
        </w:rPr>
        <w:t xml:space="preserve"> el proceso de diligenciamiento</w:t>
      </w:r>
      <w:r>
        <w:rPr>
          <w:sz w:val="24"/>
          <w:szCs w:val="24"/>
          <w:lang w:val="es-CO"/>
        </w:rPr>
        <w:t>. Asimismo, se publicaron 3 boletines de prensa y 2 están en trámite de aprobación.</w:t>
      </w:r>
      <w:r w:rsidR="00071A09">
        <w:rPr>
          <w:sz w:val="24"/>
          <w:szCs w:val="24"/>
          <w:lang w:val="es-CO"/>
        </w:rPr>
        <w:t xml:space="preserve"> </w:t>
      </w:r>
      <w:r w:rsidR="007962BC">
        <w:rPr>
          <w:sz w:val="24"/>
          <w:szCs w:val="24"/>
          <w:lang w:val="es-CO"/>
        </w:rPr>
        <w:t>S</w:t>
      </w:r>
      <w:r w:rsidR="00071A09">
        <w:rPr>
          <w:sz w:val="24"/>
          <w:szCs w:val="24"/>
          <w:lang w:val="es-CO"/>
        </w:rPr>
        <w:t>e participó en el programa radial  institucional de la PGN “Orden y Rectitud” que tuvo como tema central la Ley de Transparencia; se participó en dos ediciones de Procura</w:t>
      </w:r>
      <w:r w:rsidR="002770FA">
        <w:rPr>
          <w:sz w:val="24"/>
          <w:szCs w:val="24"/>
          <w:lang w:val="es-CO"/>
        </w:rPr>
        <w:t>n</w:t>
      </w:r>
      <w:r w:rsidR="00071A09">
        <w:rPr>
          <w:sz w:val="24"/>
          <w:szCs w:val="24"/>
          <w:lang w:val="es-CO"/>
        </w:rPr>
        <w:t>do TV en la que se divulgó la labor del Grupo y del PES</w:t>
      </w:r>
      <w:r w:rsidR="00865114">
        <w:rPr>
          <w:sz w:val="24"/>
          <w:szCs w:val="24"/>
          <w:lang w:val="es-CO"/>
        </w:rPr>
        <w:t>I</w:t>
      </w:r>
      <w:r w:rsidR="00071A09">
        <w:rPr>
          <w:sz w:val="24"/>
          <w:szCs w:val="24"/>
          <w:lang w:val="es-CO"/>
        </w:rPr>
        <w:t>IR</w:t>
      </w:r>
      <w:r w:rsidR="002770FA">
        <w:rPr>
          <w:sz w:val="24"/>
          <w:szCs w:val="24"/>
          <w:lang w:val="es-CO"/>
        </w:rPr>
        <w:t xml:space="preserve">; </w:t>
      </w:r>
      <w:r w:rsidR="00071A09">
        <w:rPr>
          <w:sz w:val="24"/>
          <w:szCs w:val="24"/>
          <w:lang w:val="es-CO"/>
        </w:rPr>
        <w:t>en la versión No 128 de la revista Procurando se publicó un artículo sobre las fu</w:t>
      </w:r>
      <w:r w:rsidR="002770FA">
        <w:rPr>
          <w:sz w:val="24"/>
          <w:szCs w:val="24"/>
          <w:lang w:val="es-CO"/>
        </w:rPr>
        <w:t xml:space="preserve">nciones que desempeña el GTDAIP; y actualmente ya se tienen redactas 65 píldoras pedagógicas sobre la ley para ser divulgadas a través de la cuenta en twitter de la PGN. </w:t>
      </w:r>
      <w:r w:rsidR="007962BC">
        <w:rPr>
          <w:sz w:val="24"/>
          <w:szCs w:val="24"/>
          <w:lang w:val="es-CO"/>
        </w:rPr>
        <w:t>Por último, se diseñó y elaboró un</w:t>
      </w:r>
      <w:r w:rsidR="007962BC">
        <w:rPr>
          <w:sz w:val="24"/>
          <w:szCs w:val="24"/>
          <w:lang w:val="es-CO"/>
        </w:rPr>
        <w:t xml:space="preserve"> pendón institucional del Grupo, como herramienta visual para los diferentes eventos de promoción y divulgación que se realicen en el país.</w:t>
      </w:r>
    </w:p>
    <w:p w:rsidR="002770FA" w:rsidRDefault="002770FA" w:rsidP="001C1A7B">
      <w:pPr>
        <w:ind w:firstLine="360"/>
        <w:jc w:val="both"/>
        <w:rPr>
          <w:sz w:val="24"/>
          <w:szCs w:val="24"/>
          <w:lang w:val="es-CO"/>
        </w:rPr>
      </w:pPr>
    </w:p>
    <w:p w:rsidR="00C44992" w:rsidRDefault="002770FA" w:rsidP="00FF465A">
      <w:pPr>
        <w:ind w:firstLine="360"/>
        <w:jc w:val="both"/>
        <w:rPr>
          <w:sz w:val="24"/>
          <w:szCs w:val="24"/>
          <w:lang w:val="es-CO"/>
        </w:rPr>
      </w:pPr>
      <w:r>
        <w:rPr>
          <w:sz w:val="24"/>
          <w:szCs w:val="24"/>
          <w:lang w:val="es-CO"/>
        </w:rPr>
        <w:t xml:space="preserve"> </w:t>
      </w:r>
      <w:r w:rsidR="00565ADB">
        <w:rPr>
          <w:sz w:val="24"/>
          <w:szCs w:val="24"/>
          <w:lang w:val="es-CO"/>
        </w:rPr>
        <w:t xml:space="preserve">La </w:t>
      </w:r>
      <w:r w:rsidR="00565ADB" w:rsidRPr="007962BC">
        <w:rPr>
          <w:b/>
          <w:sz w:val="24"/>
          <w:szCs w:val="24"/>
          <w:lang w:val="es-CO"/>
        </w:rPr>
        <w:t>línea de Sistemas de Información</w:t>
      </w:r>
      <w:r w:rsidR="00565ADB">
        <w:rPr>
          <w:sz w:val="24"/>
          <w:szCs w:val="24"/>
          <w:lang w:val="es-CO"/>
        </w:rPr>
        <w:t xml:space="preserve"> inició la elaboración de </w:t>
      </w:r>
      <w:r w:rsidR="00C47131">
        <w:rPr>
          <w:sz w:val="24"/>
          <w:szCs w:val="24"/>
          <w:lang w:val="es-CO"/>
        </w:rPr>
        <w:t xml:space="preserve">una base de datos de sujetos obligados en la que se cruzaron diferentes </w:t>
      </w:r>
      <w:r w:rsidR="007962BC">
        <w:rPr>
          <w:sz w:val="24"/>
          <w:szCs w:val="24"/>
          <w:lang w:val="es-CO"/>
        </w:rPr>
        <w:t xml:space="preserve">fuentes de información </w:t>
      </w:r>
      <w:r w:rsidR="00C47131">
        <w:rPr>
          <w:sz w:val="24"/>
          <w:szCs w:val="24"/>
          <w:lang w:val="es-CO"/>
        </w:rPr>
        <w:t>(Integra, SIGEP, Contaduría, SUI, Min Hacienda, SECOP, AGN). A partir de este análisis se han identificado 1</w:t>
      </w:r>
      <w:r w:rsidR="00FF465A">
        <w:rPr>
          <w:sz w:val="24"/>
          <w:szCs w:val="24"/>
          <w:lang w:val="es-CO"/>
        </w:rPr>
        <w:t>2</w:t>
      </w:r>
      <w:r w:rsidR="007574FB">
        <w:rPr>
          <w:sz w:val="24"/>
          <w:szCs w:val="24"/>
          <w:lang w:val="es-CO"/>
        </w:rPr>
        <w:t>.</w:t>
      </w:r>
      <w:r w:rsidR="00FF465A">
        <w:rPr>
          <w:sz w:val="24"/>
          <w:szCs w:val="24"/>
          <w:lang w:val="es-CO"/>
        </w:rPr>
        <w:t>170</w:t>
      </w:r>
      <w:r w:rsidR="00CC2294">
        <w:rPr>
          <w:sz w:val="24"/>
          <w:szCs w:val="24"/>
          <w:lang w:val="es-CO"/>
        </w:rPr>
        <w:t xml:space="preserve"> sujetos obligados con NIT sin incluir </w:t>
      </w:r>
      <w:r w:rsidR="00C23A9D">
        <w:rPr>
          <w:sz w:val="24"/>
          <w:szCs w:val="24"/>
          <w:lang w:val="es-CO"/>
        </w:rPr>
        <w:t xml:space="preserve">los de </w:t>
      </w:r>
      <w:r w:rsidR="00CC2294">
        <w:rPr>
          <w:sz w:val="24"/>
          <w:szCs w:val="24"/>
          <w:lang w:val="es-CO"/>
        </w:rPr>
        <w:t xml:space="preserve">las Superintendencias. </w:t>
      </w:r>
      <w:r w:rsidR="00FF465A">
        <w:rPr>
          <w:sz w:val="24"/>
          <w:szCs w:val="24"/>
          <w:lang w:val="es-CO"/>
        </w:rPr>
        <w:t xml:space="preserve">Del total de entidades identificadas, 442 corresponden al nivel nacional y los restantes 11.728 al nivel territorial. Gracias </w:t>
      </w:r>
      <w:r w:rsidR="00C23A9D">
        <w:rPr>
          <w:sz w:val="24"/>
          <w:szCs w:val="24"/>
          <w:lang w:val="es-CO"/>
        </w:rPr>
        <w:t>al apoyo de la línea de Sistemas se elabor</w:t>
      </w:r>
      <w:r w:rsidR="00FF465A">
        <w:rPr>
          <w:sz w:val="24"/>
          <w:szCs w:val="24"/>
          <w:lang w:val="es-CO"/>
        </w:rPr>
        <w:t>ó un formato de registro en línea para las capacitaciones, se hicieron ajustes al canal web del PES</w:t>
      </w:r>
      <w:r w:rsidR="00356775">
        <w:rPr>
          <w:sz w:val="24"/>
          <w:szCs w:val="24"/>
          <w:lang w:val="es-CO"/>
        </w:rPr>
        <w:t>I</w:t>
      </w:r>
      <w:r w:rsidR="00FF465A">
        <w:rPr>
          <w:sz w:val="24"/>
          <w:szCs w:val="24"/>
          <w:lang w:val="es-CO"/>
        </w:rPr>
        <w:t>IR y se elaboró una propuesta de variables para ser incluidas en el Sistema</w:t>
      </w:r>
      <w:r w:rsidR="004F6834">
        <w:rPr>
          <w:sz w:val="24"/>
          <w:szCs w:val="24"/>
          <w:lang w:val="es-CO"/>
        </w:rPr>
        <w:t xml:space="preserve"> de Información Estadístico de la Rama Judicial</w:t>
      </w:r>
      <w:r w:rsidR="00FF465A">
        <w:rPr>
          <w:sz w:val="24"/>
          <w:szCs w:val="24"/>
          <w:lang w:val="es-CO"/>
        </w:rPr>
        <w:t xml:space="preserve"> (SIERJU) del Consejo Superior de la Judicatura para monitorear las decisiones de tutela.</w:t>
      </w:r>
    </w:p>
    <w:p w:rsidR="00071A09" w:rsidRDefault="00071A09" w:rsidP="001C1A7B">
      <w:pPr>
        <w:ind w:firstLine="360"/>
        <w:jc w:val="both"/>
        <w:rPr>
          <w:sz w:val="24"/>
          <w:szCs w:val="24"/>
          <w:lang w:val="es-CO"/>
        </w:rPr>
      </w:pPr>
    </w:p>
    <w:p w:rsidR="004259ED" w:rsidRDefault="00197D67" w:rsidP="004259ED">
      <w:pPr>
        <w:jc w:val="both"/>
        <w:rPr>
          <w:sz w:val="24"/>
          <w:szCs w:val="24"/>
          <w:lang w:val="es-ES"/>
        </w:rPr>
      </w:pPr>
      <w:r>
        <w:rPr>
          <w:sz w:val="24"/>
          <w:szCs w:val="24"/>
          <w:lang w:val="es-CO"/>
        </w:rPr>
        <w:tab/>
      </w:r>
      <w:r w:rsidR="004F6834">
        <w:rPr>
          <w:sz w:val="24"/>
          <w:szCs w:val="24"/>
          <w:lang w:val="es-CO"/>
        </w:rPr>
        <w:t>Por medio de la l</w:t>
      </w:r>
      <w:r>
        <w:rPr>
          <w:sz w:val="24"/>
          <w:szCs w:val="24"/>
          <w:lang w:val="es-CO"/>
        </w:rPr>
        <w:t xml:space="preserve">ínea </w:t>
      </w:r>
      <w:r w:rsidR="004F6834">
        <w:rPr>
          <w:sz w:val="24"/>
          <w:szCs w:val="24"/>
          <w:lang w:val="es-CO"/>
        </w:rPr>
        <w:t xml:space="preserve">de </w:t>
      </w:r>
      <w:r w:rsidRPr="007962BC">
        <w:rPr>
          <w:b/>
          <w:sz w:val="24"/>
          <w:szCs w:val="24"/>
          <w:lang w:val="es-CO"/>
        </w:rPr>
        <w:t>Relaciones Internacionales</w:t>
      </w:r>
      <w:r w:rsidR="004F6834">
        <w:rPr>
          <w:sz w:val="24"/>
          <w:szCs w:val="24"/>
          <w:lang w:val="es-CO"/>
        </w:rPr>
        <w:t xml:space="preserve"> se realizaron</w:t>
      </w:r>
      <w:r w:rsidR="004259ED">
        <w:rPr>
          <w:sz w:val="24"/>
          <w:szCs w:val="24"/>
          <w:lang w:val="es-CO"/>
        </w:rPr>
        <w:t xml:space="preserve"> principalmente las siguientes dos actividades: Primero, e</w:t>
      </w:r>
      <w:r w:rsidR="00450939">
        <w:rPr>
          <w:sz w:val="24"/>
          <w:szCs w:val="24"/>
          <w:lang w:val="es-CO"/>
        </w:rPr>
        <w:t xml:space="preserve">l 15 de septiembre de 2014 con el apoyo de la </w:t>
      </w:r>
      <w:r w:rsidR="00450939" w:rsidRPr="00450939">
        <w:rPr>
          <w:sz w:val="24"/>
          <w:szCs w:val="24"/>
          <w:lang w:val="es-CO"/>
        </w:rPr>
        <w:t>Unidad Ejecutora PGN-BID</w:t>
      </w:r>
      <w:r w:rsidR="00450939">
        <w:rPr>
          <w:sz w:val="24"/>
          <w:szCs w:val="24"/>
          <w:lang w:val="es-CO"/>
        </w:rPr>
        <w:t xml:space="preserve"> y el Grupo de Cooperación y Asuntos Internacionales se realizó </w:t>
      </w:r>
      <w:r w:rsidR="004F6834">
        <w:rPr>
          <w:sz w:val="24"/>
          <w:szCs w:val="24"/>
          <w:lang w:val="es-CO"/>
        </w:rPr>
        <w:t xml:space="preserve">un </w:t>
      </w:r>
      <w:r w:rsidR="00450939">
        <w:rPr>
          <w:sz w:val="24"/>
          <w:szCs w:val="24"/>
          <w:lang w:val="es-ES"/>
        </w:rPr>
        <w:t>taller</w:t>
      </w:r>
      <w:r w:rsidR="00450939" w:rsidRPr="00450939">
        <w:rPr>
          <w:sz w:val="24"/>
          <w:szCs w:val="24"/>
          <w:lang w:val="es-ES"/>
        </w:rPr>
        <w:t xml:space="preserve"> de socialización de conceptos y experiencias sobre transparencia y acceso a la información pública a nivel internacional</w:t>
      </w:r>
      <w:r w:rsidR="00450939">
        <w:rPr>
          <w:sz w:val="24"/>
          <w:szCs w:val="24"/>
          <w:lang w:val="es-ES"/>
        </w:rPr>
        <w:t xml:space="preserve">. En esta actividad se contó con la participación del Procurador General de la Nación, la Viceprocuradora General de la Nación, Procuradores Delegados, Catalina Botero (Relatora </w:t>
      </w:r>
      <w:r w:rsidR="00450939" w:rsidRPr="00450939">
        <w:rPr>
          <w:sz w:val="24"/>
          <w:szCs w:val="24"/>
          <w:lang w:val="es-CO"/>
        </w:rPr>
        <w:t>Especial para la Libertad de Expresión, OEA)</w:t>
      </w:r>
      <w:r w:rsidR="00450939">
        <w:rPr>
          <w:sz w:val="24"/>
          <w:szCs w:val="24"/>
          <w:lang w:val="es-CO"/>
        </w:rPr>
        <w:t xml:space="preserve">, </w:t>
      </w:r>
      <w:proofErr w:type="spellStart"/>
      <w:r w:rsidR="00450939">
        <w:rPr>
          <w:sz w:val="24"/>
          <w:szCs w:val="24"/>
          <w:lang w:val="es-CO"/>
        </w:rPr>
        <w:t>Guielherme</w:t>
      </w:r>
      <w:proofErr w:type="spellEnd"/>
      <w:r w:rsidR="00450939">
        <w:rPr>
          <w:sz w:val="24"/>
          <w:szCs w:val="24"/>
          <w:lang w:val="es-CO"/>
        </w:rPr>
        <w:t xml:space="preserve"> Canela (</w:t>
      </w:r>
      <w:r w:rsidR="00450939" w:rsidRPr="00450939">
        <w:rPr>
          <w:sz w:val="24"/>
          <w:szCs w:val="24"/>
          <w:lang w:val="es-CO"/>
        </w:rPr>
        <w:t>Responsable de los temas de Libertad de Expresión de la UNESCO para Suramérica</w:t>
      </w:r>
      <w:r w:rsidR="00450939">
        <w:rPr>
          <w:sz w:val="24"/>
          <w:szCs w:val="24"/>
          <w:lang w:val="es-CO"/>
        </w:rPr>
        <w:t>) y Edison Lanza (</w:t>
      </w:r>
      <w:r w:rsidR="00450939" w:rsidRPr="00450939">
        <w:rPr>
          <w:sz w:val="24"/>
          <w:szCs w:val="24"/>
          <w:lang w:val="es-CO"/>
        </w:rPr>
        <w:t>Relator Especial designado</w:t>
      </w:r>
      <w:r w:rsidR="00450939">
        <w:rPr>
          <w:sz w:val="24"/>
          <w:szCs w:val="24"/>
          <w:lang w:val="es-CO"/>
        </w:rPr>
        <w:t xml:space="preserve"> para la Libertad de Expresión de la </w:t>
      </w:r>
      <w:r w:rsidR="00450939" w:rsidRPr="00450939">
        <w:rPr>
          <w:sz w:val="24"/>
          <w:szCs w:val="24"/>
          <w:lang w:val="es-CO"/>
        </w:rPr>
        <w:t>OEA</w:t>
      </w:r>
      <w:r w:rsidR="00450939" w:rsidRPr="004259ED">
        <w:rPr>
          <w:sz w:val="24"/>
          <w:szCs w:val="24"/>
          <w:lang w:val="es-ES"/>
        </w:rPr>
        <w:t>).</w:t>
      </w:r>
      <w:r w:rsidR="004259ED">
        <w:rPr>
          <w:sz w:val="24"/>
          <w:szCs w:val="24"/>
          <w:lang w:val="es-ES"/>
        </w:rPr>
        <w:t xml:space="preserve"> </w:t>
      </w:r>
    </w:p>
    <w:p w:rsidR="004259ED" w:rsidRDefault="004259ED" w:rsidP="004259ED">
      <w:pPr>
        <w:jc w:val="both"/>
        <w:rPr>
          <w:sz w:val="24"/>
          <w:szCs w:val="24"/>
          <w:lang w:val="es-ES"/>
        </w:rPr>
      </w:pPr>
    </w:p>
    <w:p w:rsidR="0007262F" w:rsidRDefault="004259ED" w:rsidP="004259ED">
      <w:pPr>
        <w:ind w:firstLine="360"/>
        <w:jc w:val="both"/>
        <w:rPr>
          <w:sz w:val="24"/>
          <w:szCs w:val="24"/>
          <w:lang w:val="es-ES"/>
        </w:rPr>
      </w:pPr>
      <w:r>
        <w:rPr>
          <w:sz w:val="24"/>
          <w:szCs w:val="24"/>
          <w:lang w:val="es-ES"/>
        </w:rPr>
        <w:t xml:space="preserve">La segunda actividad consistió en la participación en el </w:t>
      </w:r>
      <w:r w:rsidR="00450939" w:rsidRPr="004259ED">
        <w:rPr>
          <w:sz w:val="24"/>
          <w:szCs w:val="24"/>
          <w:lang w:val="es-ES"/>
        </w:rPr>
        <w:t xml:space="preserve">programa </w:t>
      </w:r>
      <w:proofErr w:type="spellStart"/>
      <w:r w:rsidR="00450939" w:rsidRPr="004259ED">
        <w:rPr>
          <w:sz w:val="24"/>
          <w:szCs w:val="24"/>
          <w:lang w:val="es-ES"/>
        </w:rPr>
        <w:t>EUROSociAL</w:t>
      </w:r>
      <w:proofErr w:type="spellEnd"/>
      <w:r>
        <w:rPr>
          <w:sz w:val="24"/>
          <w:szCs w:val="24"/>
          <w:lang w:val="es-ES"/>
        </w:rPr>
        <w:t xml:space="preserve"> de la Unión Europea</w:t>
      </w:r>
      <w:r w:rsidR="0007262F" w:rsidRPr="004259ED">
        <w:rPr>
          <w:sz w:val="24"/>
          <w:szCs w:val="24"/>
          <w:lang w:val="es-ES"/>
        </w:rPr>
        <w:t xml:space="preserve">. </w:t>
      </w:r>
      <w:r w:rsidR="00450939" w:rsidRPr="004259ED">
        <w:rPr>
          <w:sz w:val="24"/>
          <w:szCs w:val="24"/>
          <w:lang w:val="es-ES"/>
        </w:rPr>
        <w:t xml:space="preserve">Dentro del marco </w:t>
      </w:r>
      <w:r w:rsidR="0007262F" w:rsidRPr="004259ED">
        <w:rPr>
          <w:sz w:val="24"/>
          <w:szCs w:val="24"/>
          <w:lang w:val="es-ES"/>
        </w:rPr>
        <w:t xml:space="preserve">de estas actividades, la PGN participó en el VIII Encuentro Internacional de la Red de Transparencia y del Derecho de Acceso a la Información (RTA) llevado a cabo en Brasilia, Brasil y fue </w:t>
      </w:r>
      <w:r w:rsidR="00450939" w:rsidRPr="004259ED">
        <w:rPr>
          <w:sz w:val="24"/>
          <w:szCs w:val="24"/>
          <w:lang w:val="es-ES"/>
        </w:rPr>
        <w:t>admitida</w:t>
      </w:r>
      <w:r w:rsidR="0007262F" w:rsidRPr="004259ED">
        <w:rPr>
          <w:sz w:val="24"/>
          <w:szCs w:val="24"/>
          <w:lang w:val="es-ES"/>
        </w:rPr>
        <w:t xml:space="preserve"> como miembro adherente. En Brasilia se presentaron dos proyectos </w:t>
      </w:r>
      <w:r>
        <w:rPr>
          <w:sz w:val="24"/>
          <w:szCs w:val="24"/>
          <w:lang w:val="es-ES"/>
        </w:rPr>
        <w:t xml:space="preserve">a </w:t>
      </w:r>
      <w:proofErr w:type="spellStart"/>
      <w:r w:rsidR="0007262F" w:rsidRPr="004259ED">
        <w:rPr>
          <w:sz w:val="24"/>
          <w:szCs w:val="24"/>
          <w:lang w:val="es-ES"/>
        </w:rPr>
        <w:t>EUROsociAL</w:t>
      </w:r>
      <w:proofErr w:type="spellEnd"/>
      <w:r w:rsidR="0007262F" w:rsidRPr="004259ED">
        <w:rPr>
          <w:sz w:val="24"/>
          <w:szCs w:val="24"/>
          <w:lang w:val="es-ES"/>
        </w:rPr>
        <w:t xml:space="preserve"> de los cuales uno fue aprobado para ejecutarse en el 2015. Por otro lado, en el marco de una demanda de cooperación presentada por la Secretaría de Transparencia en 2013, el Grupo se benefició de una visita de tres expertos chilenos en noviembre de 2014, una visita de intercambio de tres funcionarios del GTDAIP al Consejo para la Transparencia de Chile</w:t>
      </w:r>
      <w:r w:rsidRPr="004259ED">
        <w:rPr>
          <w:sz w:val="24"/>
          <w:szCs w:val="24"/>
          <w:lang w:val="es-ES"/>
        </w:rPr>
        <w:t xml:space="preserve"> (CPLT)</w:t>
      </w:r>
      <w:r w:rsidR="0007262F" w:rsidRPr="004259ED">
        <w:rPr>
          <w:sz w:val="24"/>
          <w:szCs w:val="24"/>
          <w:lang w:val="es-ES"/>
        </w:rPr>
        <w:t xml:space="preserve"> en Santiago, en</w:t>
      </w:r>
      <w:r w:rsidRPr="004259ED">
        <w:rPr>
          <w:sz w:val="24"/>
          <w:szCs w:val="24"/>
          <w:lang w:val="es-ES"/>
        </w:rPr>
        <w:t xml:space="preserve"> la primera semana de diciembre y de l</w:t>
      </w:r>
      <w:r w:rsidR="0007262F" w:rsidRPr="004259ED">
        <w:rPr>
          <w:sz w:val="24"/>
          <w:szCs w:val="24"/>
          <w:lang w:val="es-ES"/>
        </w:rPr>
        <w:t xml:space="preserve">a asistencia técnica de un funcionario del CPLT a Bogotá para la construcción de un </w:t>
      </w:r>
      <w:proofErr w:type="spellStart"/>
      <w:r w:rsidR="007574FB">
        <w:rPr>
          <w:sz w:val="24"/>
          <w:szCs w:val="24"/>
          <w:lang w:val="es-ES"/>
        </w:rPr>
        <w:t>guió</w:t>
      </w:r>
      <w:r w:rsidR="007574FB" w:rsidRPr="004259ED">
        <w:rPr>
          <w:sz w:val="24"/>
          <w:szCs w:val="24"/>
          <w:lang w:val="es-ES"/>
        </w:rPr>
        <w:t>n</w:t>
      </w:r>
      <w:proofErr w:type="spellEnd"/>
      <w:r w:rsidR="0007262F" w:rsidRPr="004259ED">
        <w:rPr>
          <w:sz w:val="24"/>
          <w:szCs w:val="24"/>
          <w:lang w:val="es-ES"/>
        </w:rPr>
        <w:t xml:space="preserve"> para un curso virtua</w:t>
      </w:r>
      <w:r w:rsidRPr="004259ED">
        <w:rPr>
          <w:sz w:val="24"/>
          <w:szCs w:val="24"/>
          <w:lang w:val="es-ES"/>
        </w:rPr>
        <w:t>l sobre orientaciones generales de la Ley.</w:t>
      </w:r>
    </w:p>
    <w:p w:rsidR="00540EC6" w:rsidRDefault="00540EC6" w:rsidP="004259ED">
      <w:pPr>
        <w:ind w:firstLine="360"/>
        <w:jc w:val="both"/>
        <w:rPr>
          <w:sz w:val="24"/>
          <w:szCs w:val="24"/>
          <w:lang w:val="es-ES"/>
        </w:rPr>
      </w:pPr>
    </w:p>
    <w:p w:rsidR="0007262F" w:rsidRDefault="00540EC6" w:rsidP="00540EC6">
      <w:pPr>
        <w:ind w:firstLine="360"/>
        <w:jc w:val="both"/>
        <w:rPr>
          <w:sz w:val="24"/>
          <w:szCs w:val="24"/>
          <w:lang w:val="es-CO"/>
        </w:rPr>
      </w:pPr>
      <w:r>
        <w:rPr>
          <w:sz w:val="24"/>
          <w:szCs w:val="24"/>
          <w:lang w:val="es-CO"/>
        </w:rPr>
        <w:t xml:space="preserve">Los avances de la </w:t>
      </w:r>
      <w:r w:rsidRPr="007962BC">
        <w:rPr>
          <w:b/>
          <w:sz w:val="24"/>
          <w:szCs w:val="24"/>
          <w:lang w:val="es-CO"/>
        </w:rPr>
        <w:t>línea Planeación y Seguimiento</w:t>
      </w:r>
      <w:r>
        <w:rPr>
          <w:sz w:val="24"/>
          <w:szCs w:val="24"/>
          <w:lang w:val="es-CO"/>
        </w:rPr>
        <w:t xml:space="preserve"> se detallaron particularmente en la sección sobre diseño organizacional de este informe. </w:t>
      </w:r>
    </w:p>
    <w:p w:rsidR="004F6834" w:rsidRDefault="004F6834" w:rsidP="001C1A7B">
      <w:pPr>
        <w:jc w:val="both"/>
        <w:rPr>
          <w:sz w:val="24"/>
          <w:szCs w:val="24"/>
          <w:lang w:val="es-CO"/>
        </w:rPr>
      </w:pPr>
    </w:p>
    <w:p w:rsidR="00540EC6" w:rsidRDefault="00540EC6" w:rsidP="001C1A7B">
      <w:pPr>
        <w:jc w:val="both"/>
        <w:rPr>
          <w:sz w:val="24"/>
          <w:szCs w:val="24"/>
          <w:lang w:val="es-CO"/>
        </w:rPr>
      </w:pPr>
    </w:p>
    <w:p w:rsidR="007962BC" w:rsidRDefault="007962BC" w:rsidP="001C1A7B">
      <w:pPr>
        <w:jc w:val="both"/>
        <w:rPr>
          <w:sz w:val="24"/>
          <w:szCs w:val="24"/>
          <w:lang w:val="es-CO"/>
        </w:rPr>
      </w:pPr>
    </w:p>
    <w:p w:rsidR="007962BC" w:rsidRDefault="007962BC" w:rsidP="001C1A7B">
      <w:pPr>
        <w:jc w:val="both"/>
        <w:rPr>
          <w:sz w:val="24"/>
          <w:szCs w:val="24"/>
          <w:lang w:val="es-CO"/>
        </w:rPr>
      </w:pPr>
    </w:p>
    <w:p w:rsidR="005542C6" w:rsidRDefault="005542C6" w:rsidP="005542C6">
      <w:pPr>
        <w:ind w:firstLine="360"/>
        <w:jc w:val="both"/>
        <w:rPr>
          <w:sz w:val="24"/>
          <w:szCs w:val="24"/>
          <w:lang w:val="es-ES"/>
        </w:rPr>
      </w:pPr>
    </w:p>
    <w:p w:rsidR="005542C6" w:rsidRPr="00515B5F" w:rsidRDefault="00220DDC" w:rsidP="005542C6">
      <w:pPr>
        <w:keepNext/>
        <w:keepLines/>
        <w:pBdr>
          <w:top w:val="single" w:sz="6" w:space="6" w:color="808080"/>
          <w:bottom w:val="single" w:sz="6" w:space="6" w:color="808080"/>
        </w:pBdr>
        <w:spacing w:after="240" w:line="240" w:lineRule="atLeast"/>
        <w:jc w:val="center"/>
        <w:outlineLvl w:val="0"/>
        <w:rPr>
          <w:rFonts w:cs="Times New Roman"/>
          <w:b/>
          <w:caps/>
          <w:spacing w:val="20"/>
          <w:kern w:val="16"/>
          <w:sz w:val="24"/>
          <w:szCs w:val="24"/>
          <w:lang w:val="es-ES"/>
        </w:rPr>
      </w:pPr>
      <w:r>
        <w:rPr>
          <w:rFonts w:cs="Times New Roman"/>
          <w:b/>
          <w:caps/>
          <w:spacing w:val="20"/>
          <w:kern w:val="16"/>
          <w:sz w:val="24"/>
          <w:szCs w:val="24"/>
          <w:lang w:val="es-ES"/>
        </w:rPr>
        <w:lastRenderedPageBreak/>
        <w:t xml:space="preserve">3. </w:t>
      </w:r>
      <w:r w:rsidR="005542C6">
        <w:rPr>
          <w:rFonts w:cs="Times New Roman"/>
          <w:b/>
          <w:caps/>
          <w:spacing w:val="20"/>
          <w:kern w:val="16"/>
          <w:sz w:val="24"/>
          <w:szCs w:val="24"/>
          <w:lang w:val="es-ES"/>
        </w:rPr>
        <w:t>tres PRINCIPALES logros</w:t>
      </w:r>
    </w:p>
    <w:p w:rsidR="004F6834" w:rsidRDefault="004F6834" w:rsidP="001C1A7B">
      <w:pPr>
        <w:jc w:val="both"/>
        <w:rPr>
          <w:sz w:val="24"/>
          <w:szCs w:val="24"/>
          <w:lang w:val="es-CO"/>
        </w:rPr>
      </w:pPr>
    </w:p>
    <w:p w:rsidR="004B1D56" w:rsidRDefault="00220DDC" w:rsidP="004B1D56">
      <w:pPr>
        <w:ind w:firstLine="360"/>
        <w:jc w:val="both"/>
        <w:rPr>
          <w:sz w:val="24"/>
          <w:szCs w:val="24"/>
          <w:lang w:val="es-ES"/>
        </w:rPr>
      </w:pPr>
      <w:r>
        <w:rPr>
          <w:sz w:val="24"/>
          <w:szCs w:val="24"/>
          <w:lang w:val="es-CO"/>
        </w:rPr>
        <w:t>3.</w:t>
      </w:r>
      <w:r w:rsidR="004B1D56">
        <w:rPr>
          <w:sz w:val="24"/>
          <w:szCs w:val="24"/>
          <w:lang w:val="es-CO"/>
        </w:rPr>
        <w:t xml:space="preserve">1. </w:t>
      </w:r>
      <w:r w:rsidR="004B1D56">
        <w:rPr>
          <w:sz w:val="24"/>
          <w:szCs w:val="24"/>
          <w:lang w:val="es-ES"/>
        </w:rPr>
        <w:t>Elaboración del d</w:t>
      </w:r>
      <w:r w:rsidR="004B1D56" w:rsidRPr="004B1D56">
        <w:rPr>
          <w:sz w:val="24"/>
          <w:szCs w:val="24"/>
          <w:lang w:val="es-ES"/>
        </w:rPr>
        <w:t xml:space="preserve">iseño </w:t>
      </w:r>
      <w:r w:rsidR="004B1D56">
        <w:rPr>
          <w:sz w:val="24"/>
          <w:szCs w:val="24"/>
          <w:lang w:val="es-ES"/>
        </w:rPr>
        <w:t xml:space="preserve">estratégico y </w:t>
      </w:r>
      <w:r w:rsidR="004B1D56" w:rsidRPr="004B1D56">
        <w:rPr>
          <w:sz w:val="24"/>
          <w:szCs w:val="24"/>
          <w:lang w:val="es-ES"/>
        </w:rPr>
        <w:t xml:space="preserve">organizacional del Grupo de Transparencia y del Derecho de </w:t>
      </w:r>
      <w:r w:rsidR="007574FB">
        <w:rPr>
          <w:sz w:val="24"/>
          <w:szCs w:val="24"/>
          <w:lang w:val="es-ES"/>
        </w:rPr>
        <w:t>Acceso a la Información Pública.</w:t>
      </w:r>
    </w:p>
    <w:p w:rsidR="004B1D56" w:rsidRDefault="004B1D56" w:rsidP="004B1D56">
      <w:pPr>
        <w:jc w:val="both"/>
        <w:rPr>
          <w:sz w:val="24"/>
          <w:szCs w:val="24"/>
          <w:lang w:val="es-ES"/>
        </w:rPr>
      </w:pPr>
    </w:p>
    <w:p w:rsidR="004B1D56" w:rsidRDefault="00220DDC" w:rsidP="004B1D56">
      <w:pPr>
        <w:ind w:firstLine="360"/>
        <w:jc w:val="both"/>
        <w:rPr>
          <w:sz w:val="24"/>
          <w:szCs w:val="24"/>
          <w:lang w:val="es-ES"/>
        </w:rPr>
      </w:pPr>
      <w:r>
        <w:rPr>
          <w:sz w:val="24"/>
          <w:szCs w:val="24"/>
          <w:lang w:val="es-ES"/>
        </w:rPr>
        <w:t>3.</w:t>
      </w:r>
      <w:r w:rsidR="004B1D56">
        <w:rPr>
          <w:sz w:val="24"/>
          <w:szCs w:val="24"/>
          <w:lang w:val="es-ES"/>
        </w:rPr>
        <w:t xml:space="preserve">2. </w:t>
      </w:r>
      <w:r w:rsidR="004B1D56" w:rsidRPr="004B1D56">
        <w:rPr>
          <w:sz w:val="24"/>
          <w:szCs w:val="24"/>
          <w:lang w:val="es-ES"/>
        </w:rPr>
        <w:t>Expedición de la Resolución 282 del 5 de septiembre de 2014 por medio de la cual se establece la Metodología para que la Procuraduría General de la Nación, la Defensoría del Pueblo y las Personerías cumplan con las funciones y atribuciones estipuladas en la Ley 1712 de 2014.</w:t>
      </w:r>
    </w:p>
    <w:p w:rsidR="004B1D56" w:rsidRDefault="004B1D56" w:rsidP="004B1D56">
      <w:pPr>
        <w:jc w:val="both"/>
        <w:rPr>
          <w:sz w:val="24"/>
          <w:szCs w:val="24"/>
          <w:lang w:val="es-ES"/>
        </w:rPr>
      </w:pPr>
    </w:p>
    <w:p w:rsidR="005542C6" w:rsidRDefault="004B1D56" w:rsidP="004B1D56">
      <w:pPr>
        <w:ind w:firstLine="360"/>
        <w:jc w:val="both"/>
        <w:rPr>
          <w:sz w:val="24"/>
          <w:szCs w:val="24"/>
          <w:lang w:val="es-CO"/>
        </w:rPr>
      </w:pPr>
      <w:r>
        <w:rPr>
          <w:sz w:val="24"/>
          <w:szCs w:val="24"/>
          <w:lang w:val="es-ES"/>
        </w:rPr>
        <w:t>3</w:t>
      </w:r>
      <w:r w:rsidR="00220DDC">
        <w:rPr>
          <w:sz w:val="24"/>
          <w:szCs w:val="24"/>
          <w:lang w:val="es-ES"/>
        </w:rPr>
        <w:t>.3</w:t>
      </w:r>
      <w:r>
        <w:rPr>
          <w:sz w:val="24"/>
          <w:szCs w:val="24"/>
          <w:lang w:val="es-ES"/>
        </w:rPr>
        <w:t>. C</w:t>
      </w:r>
      <w:proofErr w:type="spellStart"/>
      <w:r w:rsidRPr="004B1D56">
        <w:rPr>
          <w:sz w:val="24"/>
          <w:szCs w:val="24"/>
          <w:lang w:val="es-CO"/>
        </w:rPr>
        <w:t>apacitación</w:t>
      </w:r>
      <w:proofErr w:type="spellEnd"/>
      <w:r w:rsidRPr="004B1D56">
        <w:rPr>
          <w:sz w:val="24"/>
          <w:szCs w:val="24"/>
          <w:lang w:val="es-CO"/>
        </w:rPr>
        <w:t xml:space="preserve"> y promoción de la Ley </w:t>
      </w:r>
      <w:r>
        <w:rPr>
          <w:sz w:val="24"/>
          <w:szCs w:val="24"/>
          <w:lang w:val="es-CO"/>
        </w:rPr>
        <w:t>de Transparencia y del Derecho de Acceso a la información Pública a 4</w:t>
      </w:r>
      <w:r w:rsidR="00220DDC">
        <w:rPr>
          <w:sz w:val="24"/>
          <w:szCs w:val="24"/>
          <w:lang w:val="es-CO"/>
        </w:rPr>
        <w:t>.</w:t>
      </w:r>
      <w:r>
        <w:rPr>
          <w:sz w:val="24"/>
          <w:szCs w:val="24"/>
          <w:lang w:val="es-CO"/>
        </w:rPr>
        <w:t>025 personas pertenecientes a entidades del Ministerio Público, sujetos obligados y ciudadanía a través de 31 eventos en 16 municipios del país.</w:t>
      </w:r>
    </w:p>
    <w:p w:rsidR="004B1D56" w:rsidRDefault="004B1D56"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7962BC" w:rsidRDefault="007962BC" w:rsidP="00462CAC">
      <w:pPr>
        <w:jc w:val="both"/>
        <w:rPr>
          <w:sz w:val="24"/>
          <w:szCs w:val="24"/>
          <w:lang w:val="es-CO"/>
        </w:rPr>
      </w:pPr>
    </w:p>
    <w:p w:rsidR="004B1D56" w:rsidRDefault="004B1D56" w:rsidP="00462CAC">
      <w:pPr>
        <w:jc w:val="both"/>
        <w:rPr>
          <w:sz w:val="24"/>
          <w:szCs w:val="24"/>
          <w:lang w:val="es-CO"/>
        </w:rPr>
      </w:pPr>
    </w:p>
    <w:p w:rsidR="0094008C" w:rsidRDefault="007962BC" w:rsidP="00D8341A">
      <w:pPr>
        <w:ind w:firstLine="360"/>
        <w:jc w:val="center"/>
        <w:rPr>
          <w:sz w:val="24"/>
          <w:szCs w:val="24"/>
          <w:lang w:val="es-ES"/>
        </w:rPr>
      </w:pPr>
      <w:r>
        <w:rPr>
          <w:sz w:val="24"/>
          <w:szCs w:val="24"/>
          <w:lang w:val="es-ES"/>
        </w:rPr>
        <w:lastRenderedPageBreak/>
        <w:t xml:space="preserve">Anexo No. </w:t>
      </w:r>
      <w:r w:rsidR="0094008C">
        <w:rPr>
          <w:sz w:val="24"/>
          <w:szCs w:val="24"/>
          <w:lang w:val="es-ES"/>
        </w:rPr>
        <w:t>1</w:t>
      </w:r>
    </w:p>
    <w:p w:rsidR="009E4B73" w:rsidRDefault="00D8341A" w:rsidP="009E4B73">
      <w:pPr>
        <w:ind w:firstLine="360"/>
        <w:jc w:val="center"/>
        <w:rPr>
          <w:sz w:val="24"/>
          <w:szCs w:val="24"/>
          <w:lang w:val="es-CO"/>
        </w:rPr>
      </w:pPr>
      <w:r w:rsidRPr="0094008C">
        <w:rPr>
          <w:noProof/>
          <w:sz w:val="24"/>
          <w:szCs w:val="24"/>
          <w:lang w:val="es-CO" w:eastAsia="es-CO" w:bidi="ar-SA"/>
        </w:rPr>
        <w:drawing>
          <wp:anchor distT="0" distB="0" distL="114300" distR="114300" simplePos="0" relativeHeight="251661824" behindDoc="1" locked="0" layoutInCell="1" allowOverlap="1" wp14:anchorId="141EB594" wp14:editId="7928B56B">
            <wp:simplePos x="0" y="0"/>
            <wp:positionH relativeFrom="margin">
              <wp:align>center</wp:align>
            </wp:positionH>
            <wp:positionV relativeFrom="paragraph">
              <wp:posOffset>25400</wp:posOffset>
            </wp:positionV>
            <wp:extent cx="4648200" cy="2718864"/>
            <wp:effectExtent l="0" t="0" r="0" b="5715"/>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648200" cy="2718864"/>
                    </a:xfrm>
                    <a:prstGeom prst="rect">
                      <a:avLst/>
                    </a:prstGeom>
                  </pic:spPr>
                </pic:pic>
              </a:graphicData>
            </a:graphic>
            <wp14:sizeRelH relativeFrom="page">
              <wp14:pctWidth>0</wp14:pctWidth>
            </wp14:sizeRelH>
            <wp14:sizeRelV relativeFrom="page">
              <wp14:pctHeight>0</wp14:pctHeight>
            </wp14:sizeRelV>
          </wp:anchor>
        </w:drawing>
      </w:r>
    </w:p>
    <w:p w:rsidR="009E4B73" w:rsidRDefault="009E4B73" w:rsidP="009E4B73">
      <w:pPr>
        <w:ind w:firstLine="360"/>
        <w:jc w:val="center"/>
        <w:rPr>
          <w:sz w:val="24"/>
          <w:szCs w:val="24"/>
          <w:lang w:val="es-CO"/>
        </w:rPr>
      </w:pPr>
    </w:p>
    <w:p w:rsidR="00D8341A" w:rsidRDefault="00D8341A" w:rsidP="009E4B73">
      <w:pPr>
        <w:ind w:firstLine="360"/>
        <w:jc w:val="center"/>
        <w:rPr>
          <w:sz w:val="24"/>
          <w:szCs w:val="24"/>
          <w:lang w:val="es-CO"/>
        </w:rPr>
      </w:pPr>
    </w:p>
    <w:p w:rsidR="00D8341A" w:rsidRDefault="00D8341A" w:rsidP="009E4B73">
      <w:pPr>
        <w:ind w:firstLine="360"/>
        <w:jc w:val="center"/>
        <w:rPr>
          <w:sz w:val="24"/>
          <w:szCs w:val="24"/>
          <w:lang w:val="es-CO"/>
        </w:rPr>
      </w:pPr>
    </w:p>
    <w:p w:rsidR="00D8341A" w:rsidRDefault="00D8341A" w:rsidP="009E4B73">
      <w:pPr>
        <w:ind w:firstLine="360"/>
        <w:jc w:val="center"/>
        <w:rPr>
          <w:sz w:val="24"/>
          <w:szCs w:val="24"/>
          <w:lang w:val="es-CO"/>
        </w:rPr>
      </w:pPr>
    </w:p>
    <w:p w:rsidR="00D8341A" w:rsidRDefault="00D8341A" w:rsidP="009E4B73">
      <w:pPr>
        <w:ind w:firstLine="360"/>
        <w:jc w:val="center"/>
        <w:rPr>
          <w:sz w:val="24"/>
          <w:szCs w:val="24"/>
          <w:lang w:val="es-CO"/>
        </w:rPr>
      </w:pPr>
    </w:p>
    <w:p w:rsidR="00D8341A" w:rsidRDefault="00D8341A" w:rsidP="009E4B73">
      <w:pPr>
        <w:ind w:firstLine="360"/>
        <w:jc w:val="center"/>
        <w:rPr>
          <w:sz w:val="24"/>
          <w:szCs w:val="24"/>
          <w:lang w:val="es-CO"/>
        </w:rPr>
      </w:pPr>
    </w:p>
    <w:p w:rsidR="00D8341A" w:rsidRDefault="00D8341A" w:rsidP="009E4B73">
      <w:pPr>
        <w:ind w:firstLine="360"/>
        <w:jc w:val="center"/>
        <w:rPr>
          <w:sz w:val="24"/>
          <w:szCs w:val="24"/>
          <w:lang w:val="es-CO"/>
        </w:rPr>
      </w:pPr>
    </w:p>
    <w:p w:rsidR="00D8341A" w:rsidRDefault="00D8341A" w:rsidP="009E4B73">
      <w:pPr>
        <w:ind w:firstLine="360"/>
        <w:jc w:val="center"/>
        <w:rPr>
          <w:sz w:val="24"/>
          <w:szCs w:val="24"/>
          <w:lang w:val="es-CO"/>
        </w:rPr>
      </w:pPr>
    </w:p>
    <w:p w:rsidR="00D8341A" w:rsidRDefault="00D8341A" w:rsidP="009E4B73">
      <w:pPr>
        <w:ind w:firstLine="360"/>
        <w:jc w:val="center"/>
        <w:rPr>
          <w:sz w:val="24"/>
          <w:szCs w:val="24"/>
          <w:lang w:val="es-CO"/>
        </w:rPr>
      </w:pPr>
    </w:p>
    <w:p w:rsidR="00D8341A" w:rsidRDefault="00D8341A" w:rsidP="009E4B73">
      <w:pPr>
        <w:ind w:firstLine="360"/>
        <w:jc w:val="center"/>
        <w:rPr>
          <w:sz w:val="24"/>
          <w:szCs w:val="24"/>
          <w:lang w:val="es-CO"/>
        </w:rPr>
      </w:pPr>
    </w:p>
    <w:p w:rsidR="00D8341A" w:rsidRDefault="00D8341A" w:rsidP="009E4B73">
      <w:pPr>
        <w:ind w:firstLine="360"/>
        <w:jc w:val="center"/>
        <w:rPr>
          <w:sz w:val="24"/>
          <w:szCs w:val="24"/>
          <w:lang w:val="es-CO"/>
        </w:rPr>
      </w:pPr>
    </w:p>
    <w:p w:rsidR="00D8341A" w:rsidRDefault="00D8341A" w:rsidP="009E4B73">
      <w:pPr>
        <w:ind w:firstLine="360"/>
        <w:jc w:val="center"/>
        <w:rPr>
          <w:sz w:val="24"/>
          <w:szCs w:val="24"/>
          <w:lang w:val="es-CO"/>
        </w:rPr>
      </w:pPr>
    </w:p>
    <w:p w:rsidR="00D8341A" w:rsidRDefault="00D8341A" w:rsidP="009E4B73">
      <w:pPr>
        <w:ind w:firstLine="360"/>
        <w:jc w:val="center"/>
        <w:rPr>
          <w:sz w:val="24"/>
          <w:szCs w:val="24"/>
          <w:lang w:val="es-CO"/>
        </w:rPr>
      </w:pPr>
    </w:p>
    <w:p w:rsidR="00D8341A" w:rsidRDefault="00D8341A" w:rsidP="009E4B73">
      <w:pPr>
        <w:ind w:firstLine="360"/>
        <w:jc w:val="center"/>
        <w:rPr>
          <w:sz w:val="24"/>
          <w:szCs w:val="24"/>
          <w:lang w:val="es-CO"/>
        </w:rPr>
      </w:pPr>
    </w:p>
    <w:p w:rsidR="00D8341A" w:rsidRDefault="00D8341A" w:rsidP="009E4B73">
      <w:pPr>
        <w:ind w:firstLine="360"/>
        <w:jc w:val="center"/>
        <w:rPr>
          <w:sz w:val="24"/>
          <w:szCs w:val="24"/>
          <w:lang w:val="es-CO"/>
        </w:rPr>
      </w:pPr>
    </w:p>
    <w:p w:rsidR="00D8341A" w:rsidRPr="0094008C" w:rsidRDefault="00D8341A" w:rsidP="00D8341A">
      <w:pPr>
        <w:ind w:firstLine="360"/>
        <w:jc w:val="center"/>
        <w:rPr>
          <w:sz w:val="24"/>
          <w:szCs w:val="24"/>
          <w:lang w:val="es-CO"/>
        </w:rPr>
      </w:pPr>
      <w:r w:rsidRPr="0094008C">
        <w:rPr>
          <w:sz w:val="24"/>
          <w:szCs w:val="24"/>
          <w:lang w:val="es-CO"/>
        </w:rPr>
        <w:t>Defensoría del Pueblo, La tutela y el derecho a la salud 2013 (2014)</w:t>
      </w:r>
    </w:p>
    <w:p w:rsidR="00D8341A" w:rsidRDefault="00D8341A" w:rsidP="009E4B73">
      <w:pPr>
        <w:ind w:firstLine="360"/>
        <w:jc w:val="center"/>
        <w:rPr>
          <w:sz w:val="24"/>
          <w:szCs w:val="24"/>
          <w:lang w:val="es-CO"/>
        </w:rPr>
      </w:pPr>
    </w:p>
    <w:p w:rsidR="00D8341A" w:rsidRDefault="00D8341A" w:rsidP="009E4B73">
      <w:pPr>
        <w:ind w:firstLine="360"/>
        <w:jc w:val="center"/>
        <w:rPr>
          <w:sz w:val="24"/>
          <w:szCs w:val="24"/>
          <w:lang w:val="es-CO"/>
        </w:rPr>
      </w:pPr>
    </w:p>
    <w:p w:rsidR="00D8341A" w:rsidRDefault="00D8341A" w:rsidP="009E4B73">
      <w:pPr>
        <w:ind w:firstLine="360"/>
        <w:jc w:val="center"/>
        <w:rPr>
          <w:sz w:val="24"/>
          <w:szCs w:val="24"/>
          <w:lang w:val="es-CO"/>
        </w:rPr>
      </w:pPr>
    </w:p>
    <w:p w:rsidR="00D8341A" w:rsidRDefault="00D8341A" w:rsidP="009E4B73">
      <w:pPr>
        <w:ind w:firstLine="360"/>
        <w:jc w:val="center"/>
        <w:rPr>
          <w:sz w:val="24"/>
          <w:szCs w:val="24"/>
          <w:lang w:val="es-CO"/>
        </w:rPr>
      </w:pPr>
    </w:p>
    <w:p w:rsidR="009E4B73" w:rsidRDefault="007962BC" w:rsidP="009E4B73">
      <w:pPr>
        <w:ind w:firstLine="360"/>
        <w:jc w:val="center"/>
        <w:rPr>
          <w:sz w:val="24"/>
          <w:szCs w:val="24"/>
          <w:lang w:val="es-CO"/>
        </w:rPr>
      </w:pPr>
      <w:r>
        <w:rPr>
          <w:sz w:val="24"/>
          <w:szCs w:val="24"/>
          <w:lang w:val="es-CO"/>
        </w:rPr>
        <w:t xml:space="preserve">Anexo No. </w:t>
      </w:r>
      <w:r w:rsidR="00D8341A">
        <w:rPr>
          <w:sz w:val="24"/>
          <w:szCs w:val="24"/>
          <w:lang w:val="es-CO"/>
        </w:rPr>
        <w:t>2</w:t>
      </w:r>
    </w:p>
    <w:p w:rsidR="00D8341A" w:rsidRDefault="00D8341A" w:rsidP="009E4B73">
      <w:pPr>
        <w:ind w:firstLine="360"/>
        <w:jc w:val="center"/>
        <w:rPr>
          <w:sz w:val="24"/>
          <w:szCs w:val="24"/>
          <w:lang w:val="es-CO"/>
        </w:rPr>
      </w:pPr>
      <w:r>
        <w:rPr>
          <w:noProof/>
          <w:lang w:val="es-CO" w:eastAsia="es-CO" w:bidi="ar-SA"/>
        </w:rPr>
        <w:drawing>
          <wp:anchor distT="0" distB="0" distL="114300" distR="114300" simplePos="0" relativeHeight="251658752" behindDoc="0" locked="0" layoutInCell="1" allowOverlap="1" wp14:anchorId="1AA188C0" wp14:editId="4207ED70">
            <wp:simplePos x="0" y="0"/>
            <wp:positionH relativeFrom="margin">
              <wp:align>right</wp:align>
            </wp:positionH>
            <wp:positionV relativeFrom="paragraph">
              <wp:posOffset>20364</wp:posOffset>
            </wp:positionV>
            <wp:extent cx="5274945" cy="3274060"/>
            <wp:effectExtent l="0" t="0" r="1905" b="2540"/>
            <wp:wrapNone/>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274945" cy="3274060"/>
                    </a:xfrm>
                    <a:prstGeom prst="rect">
                      <a:avLst/>
                    </a:prstGeom>
                  </pic:spPr>
                </pic:pic>
              </a:graphicData>
            </a:graphic>
            <wp14:sizeRelH relativeFrom="page">
              <wp14:pctWidth>0</wp14:pctWidth>
            </wp14:sizeRelH>
            <wp14:sizeRelV relativeFrom="page">
              <wp14:pctHeight>0</wp14:pctHeight>
            </wp14:sizeRelV>
          </wp:anchor>
        </w:drawing>
      </w:r>
    </w:p>
    <w:p w:rsidR="00D8341A" w:rsidRDefault="00D8341A" w:rsidP="009E4B73">
      <w:pPr>
        <w:ind w:firstLine="360"/>
        <w:jc w:val="center"/>
        <w:rPr>
          <w:sz w:val="24"/>
          <w:szCs w:val="24"/>
          <w:lang w:val="es-CO"/>
        </w:rPr>
      </w:pPr>
    </w:p>
    <w:p w:rsidR="00D8341A" w:rsidRDefault="00D8341A" w:rsidP="009E4B73">
      <w:pPr>
        <w:ind w:firstLine="360"/>
        <w:jc w:val="center"/>
        <w:rPr>
          <w:sz w:val="24"/>
          <w:szCs w:val="24"/>
          <w:lang w:val="es-CO"/>
        </w:rPr>
      </w:pPr>
    </w:p>
    <w:p w:rsidR="00D8341A" w:rsidRDefault="00D8341A" w:rsidP="009E4B73">
      <w:pPr>
        <w:ind w:firstLine="360"/>
        <w:jc w:val="center"/>
        <w:rPr>
          <w:sz w:val="24"/>
          <w:szCs w:val="24"/>
          <w:lang w:val="es-CO"/>
        </w:rPr>
      </w:pPr>
    </w:p>
    <w:p w:rsidR="00D8341A" w:rsidRDefault="00D8341A" w:rsidP="009E4B73">
      <w:pPr>
        <w:ind w:firstLine="360"/>
        <w:jc w:val="center"/>
        <w:rPr>
          <w:sz w:val="24"/>
          <w:szCs w:val="24"/>
          <w:lang w:val="es-CO"/>
        </w:rPr>
      </w:pPr>
    </w:p>
    <w:p w:rsidR="00D8341A" w:rsidRDefault="00D8341A" w:rsidP="009E4B73">
      <w:pPr>
        <w:ind w:firstLine="360"/>
        <w:jc w:val="center"/>
        <w:rPr>
          <w:sz w:val="24"/>
          <w:szCs w:val="24"/>
          <w:lang w:val="es-CO"/>
        </w:rPr>
      </w:pPr>
    </w:p>
    <w:p w:rsidR="00D8341A" w:rsidRDefault="00D8341A" w:rsidP="009E4B73">
      <w:pPr>
        <w:ind w:firstLine="360"/>
        <w:jc w:val="center"/>
        <w:rPr>
          <w:sz w:val="24"/>
          <w:szCs w:val="24"/>
          <w:lang w:val="es-CO"/>
        </w:rPr>
      </w:pPr>
    </w:p>
    <w:p w:rsidR="00D8341A" w:rsidRDefault="00D8341A" w:rsidP="009E4B73">
      <w:pPr>
        <w:ind w:firstLine="360"/>
        <w:jc w:val="center"/>
        <w:rPr>
          <w:sz w:val="24"/>
          <w:szCs w:val="24"/>
          <w:lang w:val="es-CO"/>
        </w:rPr>
      </w:pPr>
    </w:p>
    <w:p w:rsidR="00D8341A" w:rsidRDefault="00D8341A" w:rsidP="009E4B73">
      <w:pPr>
        <w:ind w:firstLine="360"/>
        <w:jc w:val="center"/>
        <w:rPr>
          <w:sz w:val="24"/>
          <w:szCs w:val="24"/>
          <w:lang w:val="es-CO"/>
        </w:rPr>
      </w:pPr>
    </w:p>
    <w:p w:rsidR="00515B5F" w:rsidRPr="0094008C" w:rsidRDefault="00515B5F" w:rsidP="009E4B73">
      <w:pPr>
        <w:ind w:firstLine="360"/>
        <w:jc w:val="center"/>
        <w:rPr>
          <w:sz w:val="24"/>
          <w:szCs w:val="24"/>
          <w:lang w:val="es-CO"/>
        </w:rPr>
      </w:pPr>
    </w:p>
    <w:p w:rsidR="00515B5F" w:rsidRDefault="00515B5F" w:rsidP="00CB6D98">
      <w:pPr>
        <w:ind w:firstLine="360"/>
        <w:jc w:val="both"/>
        <w:rPr>
          <w:sz w:val="24"/>
          <w:szCs w:val="24"/>
          <w:lang w:val="es-ES"/>
        </w:rPr>
      </w:pPr>
    </w:p>
    <w:p w:rsidR="00515B5F" w:rsidRDefault="00515B5F" w:rsidP="00CB6D98">
      <w:pPr>
        <w:ind w:firstLine="360"/>
        <w:jc w:val="both"/>
        <w:rPr>
          <w:sz w:val="24"/>
          <w:szCs w:val="24"/>
          <w:lang w:val="es-ES"/>
        </w:rPr>
      </w:pPr>
    </w:p>
    <w:p w:rsidR="00515B5F" w:rsidRDefault="00515B5F" w:rsidP="00CB6D98">
      <w:pPr>
        <w:ind w:firstLine="360"/>
        <w:jc w:val="both"/>
        <w:rPr>
          <w:sz w:val="24"/>
          <w:szCs w:val="24"/>
          <w:lang w:val="es-ES"/>
        </w:rPr>
      </w:pPr>
    </w:p>
    <w:p w:rsidR="00515B5F" w:rsidRDefault="00515B5F" w:rsidP="00CB6D98">
      <w:pPr>
        <w:ind w:firstLine="360"/>
        <w:jc w:val="both"/>
        <w:rPr>
          <w:sz w:val="24"/>
          <w:szCs w:val="24"/>
          <w:lang w:val="es-ES"/>
        </w:rPr>
      </w:pPr>
    </w:p>
    <w:p w:rsidR="004B1D56" w:rsidRDefault="004B1D56" w:rsidP="00CB6D98">
      <w:pPr>
        <w:ind w:firstLine="360"/>
        <w:jc w:val="both"/>
        <w:rPr>
          <w:sz w:val="24"/>
          <w:szCs w:val="24"/>
          <w:lang w:val="es-ES"/>
        </w:rPr>
      </w:pPr>
    </w:p>
    <w:p w:rsidR="004B1D56" w:rsidRDefault="004B1D56" w:rsidP="00CB6D98">
      <w:pPr>
        <w:ind w:firstLine="360"/>
        <w:jc w:val="both"/>
        <w:rPr>
          <w:sz w:val="24"/>
          <w:szCs w:val="24"/>
          <w:lang w:val="es-ES"/>
        </w:rPr>
      </w:pPr>
    </w:p>
    <w:p w:rsidR="004B1D56" w:rsidRDefault="004B1D56" w:rsidP="00CB6D98">
      <w:pPr>
        <w:ind w:firstLine="360"/>
        <w:jc w:val="both"/>
        <w:rPr>
          <w:sz w:val="24"/>
          <w:szCs w:val="24"/>
          <w:lang w:val="es-ES"/>
        </w:rPr>
      </w:pPr>
    </w:p>
    <w:p w:rsidR="004B1D56" w:rsidRDefault="004B1D56" w:rsidP="00CB6D98">
      <w:pPr>
        <w:ind w:firstLine="360"/>
        <w:jc w:val="both"/>
        <w:rPr>
          <w:sz w:val="24"/>
          <w:szCs w:val="24"/>
          <w:lang w:val="es-ES"/>
        </w:rPr>
      </w:pPr>
    </w:p>
    <w:p w:rsidR="004B1D56" w:rsidRDefault="004B1D56" w:rsidP="00CB6D98">
      <w:pPr>
        <w:ind w:firstLine="360"/>
        <w:jc w:val="both"/>
        <w:rPr>
          <w:sz w:val="24"/>
          <w:szCs w:val="24"/>
          <w:lang w:val="es-ES"/>
        </w:rPr>
      </w:pPr>
    </w:p>
    <w:p w:rsidR="004B1D56" w:rsidRDefault="004B1D56" w:rsidP="00CB6D98">
      <w:pPr>
        <w:ind w:firstLine="360"/>
        <w:jc w:val="both"/>
        <w:rPr>
          <w:sz w:val="24"/>
          <w:szCs w:val="24"/>
          <w:lang w:val="es-ES"/>
        </w:rPr>
      </w:pPr>
    </w:p>
    <w:p w:rsidR="004B1D56" w:rsidRDefault="00D8341A" w:rsidP="00D8341A">
      <w:pPr>
        <w:ind w:firstLine="360"/>
        <w:jc w:val="center"/>
        <w:rPr>
          <w:sz w:val="24"/>
          <w:szCs w:val="24"/>
          <w:lang w:val="es-ES"/>
        </w:rPr>
      </w:pPr>
      <w:r w:rsidRPr="00D8341A">
        <w:rPr>
          <w:sz w:val="24"/>
          <w:szCs w:val="24"/>
          <w:lang w:val="es-ES"/>
        </w:rPr>
        <w:t>Defensoría del Pueblo, La tutela y el derecho a la salud 2013 (2014)</w:t>
      </w:r>
    </w:p>
    <w:p w:rsidR="004B1D56" w:rsidRDefault="004B1D56" w:rsidP="00CB6D98">
      <w:pPr>
        <w:ind w:firstLine="360"/>
        <w:jc w:val="both"/>
        <w:rPr>
          <w:sz w:val="24"/>
          <w:szCs w:val="24"/>
          <w:lang w:val="es-ES"/>
        </w:rPr>
      </w:pPr>
    </w:p>
    <w:p w:rsidR="004B1D56" w:rsidRDefault="004B1D56" w:rsidP="00CB6D98">
      <w:pPr>
        <w:ind w:firstLine="360"/>
        <w:jc w:val="both"/>
        <w:rPr>
          <w:sz w:val="24"/>
          <w:szCs w:val="24"/>
          <w:lang w:val="es-ES"/>
        </w:rPr>
      </w:pPr>
    </w:p>
    <w:p w:rsidR="004B1D56" w:rsidRDefault="004B1D56" w:rsidP="00CB6D98">
      <w:pPr>
        <w:ind w:firstLine="360"/>
        <w:jc w:val="both"/>
        <w:rPr>
          <w:sz w:val="24"/>
          <w:szCs w:val="24"/>
          <w:lang w:val="es-ES"/>
        </w:rPr>
      </w:pPr>
    </w:p>
    <w:p w:rsidR="004B1D56" w:rsidRDefault="004B1D56" w:rsidP="00CB6D98">
      <w:pPr>
        <w:ind w:firstLine="360"/>
        <w:jc w:val="both"/>
        <w:rPr>
          <w:sz w:val="24"/>
          <w:szCs w:val="24"/>
          <w:lang w:val="es-ES"/>
        </w:rPr>
      </w:pPr>
    </w:p>
    <w:p w:rsidR="004B1D56" w:rsidRDefault="004B1D56" w:rsidP="00CB6D98">
      <w:pPr>
        <w:ind w:firstLine="360"/>
        <w:jc w:val="both"/>
        <w:rPr>
          <w:sz w:val="24"/>
          <w:szCs w:val="24"/>
          <w:lang w:val="es-ES"/>
        </w:rPr>
      </w:pPr>
    </w:p>
    <w:p w:rsidR="004B1D56" w:rsidRDefault="004B1D56" w:rsidP="00CB6D98">
      <w:pPr>
        <w:ind w:firstLine="360"/>
        <w:jc w:val="both"/>
        <w:rPr>
          <w:sz w:val="24"/>
          <w:szCs w:val="24"/>
          <w:lang w:val="es-ES"/>
        </w:rPr>
      </w:pPr>
    </w:p>
    <w:p w:rsidR="004B1D56" w:rsidRDefault="004B1D56" w:rsidP="00CB6D98">
      <w:pPr>
        <w:ind w:firstLine="360"/>
        <w:jc w:val="both"/>
        <w:rPr>
          <w:sz w:val="24"/>
          <w:szCs w:val="24"/>
          <w:lang w:val="es-ES"/>
        </w:rPr>
      </w:pPr>
    </w:p>
    <w:p w:rsidR="004B1D56" w:rsidRDefault="004B1D56" w:rsidP="00CB6D98">
      <w:pPr>
        <w:ind w:firstLine="360"/>
        <w:jc w:val="both"/>
        <w:rPr>
          <w:sz w:val="24"/>
          <w:szCs w:val="24"/>
          <w:lang w:val="es-ES"/>
        </w:rPr>
      </w:pPr>
    </w:p>
    <w:p w:rsidR="00D361F1" w:rsidRDefault="00D361F1" w:rsidP="00CB6D98">
      <w:pPr>
        <w:ind w:firstLine="360"/>
        <w:jc w:val="both"/>
        <w:rPr>
          <w:sz w:val="24"/>
          <w:szCs w:val="24"/>
          <w:lang w:val="es-ES"/>
        </w:rPr>
      </w:pPr>
    </w:p>
    <w:p w:rsidR="00D361F1" w:rsidRDefault="00D361F1" w:rsidP="00CB6D98">
      <w:pPr>
        <w:ind w:firstLine="360"/>
        <w:jc w:val="both"/>
        <w:rPr>
          <w:sz w:val="24"/>
          <w:szCs w:val="24"/>
          <w:lang w:val="es-ES"/>
        </w:rPr>
      </w:pPr>
    </w:p>
    <w:p w:rsidR="004B1D56" w:rsidRDefault="004B1D56" w:rsidP="00CB6D98">
      <w:pPr>
        <w:ind w:firstLine="360"/>
        <w:jc w:val="both"/>
        <w:rPr>
          <w:sz w:val="24"/>
          <w:szCs w:val="24"/>
          <w:lang w:val="es-ES"/>
        </w:rPr>
      </w:pPr>
    </w:p>
    <w:p w:rsidR="004B1D56" w:rsidRDefault="004B1D56" w:rsidP="00CB6D98">
      <w:pPr>
        <w:ind w:firstLine="360"/>
        <w:jc w:val="both"/>
        <w:rPr>
          <w:sz w:val="24"/>
          <w:szCs w:val="24"/>
          <w:lang w:val="es-ES"/>
        </w:rPr>
      </w:pPr>
    </w:p>
    <w:p w:rsidR="004B1D56" w:rsidRDefault="004B1D56" w:rsidP="00CB6D98">
      <w:pPr>
        <w:ind w:firstLine="360"/>
        <w:jc w:val="both"/>
        <w:rPr>
          <w:sz w:val="24"/>
          <w:szCs w:val="24"/>
          <w:lang w:val="es-ES"/>
        </w:rPr>
      </w:pPr>
    </w:p>
    <w:p w:rsidR="004B1D56" w:rsidRDefault="004B1D56" w:rsidP="00CB6D98">
      <w:pPr>
        <w:ind w:firstLine="360"/>
        <w:jc w:val="both"/>
        <w:rPr>
          <w:sz w:val="24"/>
          <w:szCs w:val="24"/>
          <w:lang w:val="es-ES"/>
        </w:rPr>
      </w:pPr>
    </w:p>
    <w:p w:rsidR="004B1D56" w:rsidRDefault="004B1D56" w:rsidP="00CB6D98">
      <w:pPr>
        <w:ind w:firstLine="360"/>
        <w:jc w:val="both"/>
        <w:rPr>
          <w:sz w:val="24"/>
          <w:szCs w:val="24"/>
          <w:lang w:val="es-ES"/>
        </w:rPr>
      </w:pPr>
    </w:p>
    <w:p w:rsidR="007851B8" w:rsidRDefault="007851B8" w:rsidP="00CB6D98">
      <w:pPr>
        <w:ind w:firstLine="360"/>
        <w:jc w:val="both"/>
        <w:rPr>
          <w:sz w:val="24"/>
          <w:szCs w:val="24"/>
          <w:lang w:val="es-ES"/>
        </w:rPr>
      </w:pPr>
    </w:p>
    <w:p w:rsidR="007851B8" w:rsidRPr="007851B8" w:rsidRDefault="007962BC" w:rsidP="007851B8">
      <w:pPr>
        <w:ind w:firstLine="360"/>
        <w:jc w:val="center"/>
        <w:rPr>
          <w:sz w:val="24"/>
          <w:szCs w:val="24"/>
          <w:lang w:val="es-ES"/>
        </w:rPr>
      </w:pPr>
      <w:r>
        <w:rPr>
          <w:sz w:val="24"/>
          <w:szCs w:val="24"/>
          <w:lang w:val="es-ES"/>
        </w:rPr>
        <w:t xml:space="preserve">Anexo No. </w:t>
      </w:r>
      <w:r w:rsidR="007851B8">
        <w:rPr>
          <w:sz w:val="24"/>
          <w:szCs w:val="24"/>
          <w:lang w:val="es-ES"/>
        </w:rPr>
        <w:t>3</w:t>
      </w:r>
    </w:p>
    <w:p w:rsidR="007851B8" w:rsidRPr="007851B8" w:rsidRDefault="00D361F1" w:rsidP="00D361F1">
      <w:pPr>
        <w:ind w:firstLine="360"/>
        <w:jc w:val="center"/>
        <w:rPr>
          <w:sz w:val="24"/>
          <w:szCs w:val="24"/>
          <w:lang w:val="es-CO"/>
        </w:rPr>
      </w:pPr>
      <w:r>
        <w:rPr>
          <w:sz w:val="24"/>
          <w:szCs w:val="24"/>
          <w:lang w:val="es-CO"/>
        </w:rPr>
        <w:t>1er Informe de Vigilancia del Cumplimiento de la Ley 1712: Entidades Públicas del Orden Nacional</w:t>
      </w:r>
    </w:p>
    <w:p w:rsidR="007851B8" w:rsidRDefault="007851B8" w:rsidP="00CB6D98">
      <w:pPr>
        <w:ind w:firstLine="360"/>
        <w:jc w:val="both"/>
        <w:rPr>
          <w:sz w:val="24"/>
          <w:szCs w:val="24"/>
          <w:lang w:val="es-ES"/>
        </w:rPr>
      </w:pPr>
    </w:p>
    <w:p w:rsidR="006F0D56" w:rsidRPr="007851B8" w:rsidRDefault="00D361F1" w:rsidP="007851B8">
      <w:pPr>
        <w:ind w:firstLine="360"/>
        <w:jc w:val="center"/>
        <w:rPr>
          <w:sz w:val="24"/>
          <w:szCs w:val="24"/>
          <w:lang w:val="es-ES"/>
        </w:rPr>
      </w:pPr>
      <w:r>
        <w:rPr>
          <w:sz w:val="24"/>
          <w:szCs w:val="24"/>
          <w:lang w:val="es-ES"/>
        </w:rPr>
        <w:t>A</w:t>
      </w:r>
      <w:r w:rsidR="007851B8">
        <w:rPr>
          <w:sz w:val="24"/>
          <w:szCs w:val="24"/>
          <w:lang w:val="es-ES"/>
        </w:rPr>
        <w:t>nexo #4</w:t>
      </w:r>
    </w:p>
    <w:p w:rsidR="006F0D56" w:rsidRDefault="007851B8" w:rsidP="00CB6D98">
      <w:pPr>
        <w:ind w:firstLine="360"/>
        <w:jc w:val="both"/>
        <w:rPr>
          <w:sz w:val="24"/>
          <w:szCs w:val="24"/>
          <w:lang w:val="es-ES"/>
        </w:rPr>
      </w:pPr>
      <w:r w:rsidRPr="00462CAC">
        <w:rPr>
          <w:noProof/>
          <w:lang w:val="es-CO" w:eastAsia="es-CO" w:bidi="ar-SA"/>
        </w:rPr>
        <w:drawing>
          <wp:anchor distT="0" distB="0" distL="114300" distR="114300" simplePos="0" relativeHeight="251660800" behindDoc="1" locked="0" layoutInCell="1" allowOverlap="1" wp14:anchorId="11CE53B7" wp14:editId="336E48E8">
            <wp:simplePos x="0" y="0"/>
            <wp:positionH relativeFrom="margin">
              <wp:align>center</wp:align>
            </wp:positionH>
            <wp:positionV relativeFrom="paragraph">
              <wp:posOffset>8890</wp:posOffset>
            </wp:positionV>
            <wp:extent cx="4726940" cy="8629650"/>
            <wp:effectExtent l="0" t="0" r="0" b="0"/>
            <wp:wrapNone/>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26940" cy="8629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0D56" w:rsidRDefault="006F0D56" w:rsidP="00CB6D98">
      <w:pPr>
        <w:ind w:firstLine="360"/>
        <w:jc w:val="both"/>
        <w:rPr>
          <w:sz w:val="24"/>
          <w:szCs w:val="24"/>
          <w:lang w:val="es-ES"/>
        </w:rPr>
      </w:pPr>
    </w:p>
    <w:p w:rsidR="006F0D56" w:rsidRDefault="006F0D56" w:rsidP="00CB6D98">
      <w:pPr>
        <w:ind w:firstLine="360"/>
        <w:jc w:val="both"/>
        <w:rPr>
          <w:sz w:val="24"/>
          <w:szCs w:val="24"/>
          <w:lang w:val="es-ES"/>
        </w:rPr>
      </w:pPr>
    </w:p>
    <w:p w:rsidR="009E4B73" w:rsidRDefault="009E4B73" w:rsidP="00CB6D98">
      <w:pPr>
        <w:ind w:firstLine="360"/>
        <w:jc w:val="both"/>
        <w:rPr>
          <w:sz w:val="24"/>
          <w:szCs w:val="24"/>
          <w:lang w:val="es-ES"/>
        </w:rPr>
      </w:pPr>
    </w:p>
    <w:p w:rsidR="009E4B73" w:rsidRDefault="009E4B73" w:rsidP="00CB6D98">
      <w:pPr>
        <w:ind w:firstLine="360"/>
        <w:jc w:val="both"/>
        <w:rPr>
          <w:sz w:val="24"/>
          <w:szCs w:val="24"/>
          <w:lang w:val="es-ES"/>
        </w:rPr>
      </w:pPr>
    </w:p>
    <w:p w:rsidR="009E4B73" w:rsidRDefault="009E4B73" w:rsidP="00CB6D98">
      <w:pPr>
        <w:ind w:firstLine="360"/>
        <w:jc w:val="both"/>
        <w:rPr>
          <w:sz w:val="24"/>
          <w:szCs w:val="24"/>
          <w:lang w:val="es-ES"/>
        </w:rPr>
      </w:pPr>
    </w:p>
    <w:p w:rsidR="009E4B73" w:rsidRDefault="009E4B73" w:rsidP="00CB6D98">
      <w:pPr>
        <w:ind w:firstLine="360"/>
        <w:jc w:val="both"/>
        <w:rPr>
          <w:sz w:val="24"/>
          <w:szCs w:val="24"/>
          <w:lang w:val="es-ES"/>
        </w:rPr>
      </w:pPr>
    </w:p>
    <w:p w:rsidR="009E4B73" w:rsidRDefault="009E4B73" w:rsidP="00CB6D98">
      <w:pPr>
        <w:ind w:firstLine="360"/>
        <w:jc w:val="both"/>
        <w:rPr>
          <w:sz w:val="24"/>
          <w:szCs w:val="24"/>
          <w:lang w:val="es-ES"/>
        </w:rPr>
      </w:pPr>
    </w:p>
    <w:p w:rsidR="009E4B73" w:rsidRDefault="009E4B73" w:rsidP="00CB6D98">
      <w:pPr>
        <w:ind w:firstLine="360"/>
        <w:jc w:val="both"/>
        <w:rPr>
          <w:sz w:val="24"/>
          <w:szCs w:val="24"/>
          <w:lang w:val="es-ES"/>
        </w:rPr>
      </w:pPr>
    </w:p>
    <w:p w:rsidR="009E4B73" w:rsidRDefault="009E4B73" w:rsidP="00CB6D98">
      <w:pPr>
        <w:ind w:firstLine="360"/>
        <w:jc w:val="both"/>
        <w:rPr>
          <w:sz w:val="24"/>
          <w:szCs w:val="24"/>
          <w:lang w:val="es-ES"/>
        </w:rPr>
      </w:pPr>
    </w:p>
    <w:p w:rsidR="009E4B73" w:rsidRDefault="009E4B73" w:rsidP="00CB6D98">
      <w:pPr>
        <w:ind w:firstLine="360"/>
        <w:jc w:val="both"/>
        <w:rPr>
          <w:sz w:val="24"/>
          <w:szCs w:val="24"/>
          <w:lang w:val="es-ES"/>
        </w:rPr>
      </w:pPr>
    </w:p>
    <w:p w:rsidR="009E4B73" w:rsidRDefault="009E4B73" w:rsidP="00CB6D98">
      <w:pPr>
        <w:ind w:firstLine="360"/>
        <w:jc w:val="both"/>
        <w:rPr>
          <w:sz w:val="24"/>
          <w:szCs w:val="24"/>
          <w:lang w:val="es-ES"/>
        </w:rPr>
      </w:pPr>
    </w:p>
    <w:p w:rsidR="009E4B73" w:rsidRDefault="009E4B73" w:rsidP="00CB6D98">
      <w:pPr>
        <w:ind w:firstLine="360"/>
        <w:jc w:val="both"/>
        <w:rPr>
          <w:sz w:val="24"/>
          <w:szCs w:val="24"/>
          <w:lang w:val="es-ES"/>
        </w:rPr>
      </w:pPr>
    </w:p>
    <w:p w:rsidR="009E4B73" w:rsidRDefault="009E4B73" w:rsidP="00CB6D98">
      <w:pPr>
        <w:ind w:firstLine="360"/>
        <w:jc w:val="both"/>
        <w:rPr>
          <w:sz w:val="24"/>
          <w:szCs w:val="24"/>
          <w:lang w:val="es-ES"/>
        </w:rPr>
      </w:pPr>
    </w:p>
    <w:p w:rsidR="009E4B73" w:rsidRDefault="009E4B73" w:rsidP="00CB6D98">
      <w:pPr>
        <w:ind w:firstLine="360"/>
        <w:jc w:val="both"/>
        <w:rPr>
          <w:sz w:val="24"/>
          <w:szCs w:val="24"/>
          <w:lang w:val="es-ES"/>
        </w:rPr>
      </w:pPr>
    </w:p>
    <w:p w:rsidR="009E4B73" w:rsidRDefault="009E4B73" w:rsidP="00CB6D98">
      <w:pPr>
        <w:ind w:firstLine="360"/>
        <w:jc w:val="both"/>
        <w:rPr>
          <w:sz w:val="24"/>
          <w:szCs w:val="24"/>
          <w:lang w:val="es-ES"/>
        </w:rPr>
      </w:pPr>
    </w:p>
    <w:p w:rsidR="009E4B73" w:rsidRDefault="009E4B73" w:rsidP="00CB6D98">
      <w:pPr>
        <w:ind w:firstLine="360"/>
        <w:jc w:val="both"/>
        <w:rPr>
          <w:sz w:val="24"/>
          <w:szCs w:val="24"/>
          <w:lang w:val="es-ES"/>
        </w:rPr>
      </w:pPr>
    </w:p>
    <w:p w:rsidR="009E4B73" w:rsidRDefault="009E4B73" w:rsidP="00CB6D98">
      <w:pPr>
        <w:ind w:firstLine="360"/>
        <w:jc w:val="both"/>
        <w:rPr>
          <w:sz w:val="24"/>
          <w:szCs w:val="24"/>
          <w:lang w:val="es-ES"/>
        </w:rPr>
      </w:pPr>
    </w:p>
    <w:p w:rsidR="009E4B73" w:rsidRDefault="009E4B73" w:rsidP="00CB6D98">
      <w:pPr>
        <w:ind w:firstLine="360"/>
        <w:jc w:val="both"/>
        <w:rPr>
          <w:sz w:val="24"/>
          <w:szCs w:val="24"/>
          <w:lang w:val="es-ES"/>
        </w:rPr>
      </w:pPr>
    </w:p>
    <w:p w:rsidR="009E4B73" w:rsidRDefault="009E4B73" w:rsidP="00CB6D98">
      <w:pPr>
        <w:ind w:firstLine="360"/>
        <w:jc w:val="both"/>
        <w:rPr>
          <w:sz w:val="24"/>
          <w:szCs w:val="24"/>
          <w:lang w:val="es-ES"/>
        </w:rPr>
      </w:pPr>
    </w:p>
    <w:p w:rsidR="00CE14FB" w:rsidRDefault="00CE14FB" w:rsidP="00CB6D98">
      <w:pPr>
        <w:ind w:firstLine="360"/>
        <w:jc w:val="both"/>
        <w:rPr>
          <w:sz w:val="24"/>
          <w:szCs w:val="24"/>
          <w:lang w:val="es-ES"/>
        </w:rPr>
      </w:pPr>
    </w:p>
    <w:p w:rsidR="00CE14FB" w:rsidRDefault="00CE14FB" w:rsidP="00CB6D98">
      <w:pPr>
        <w:ind w:firstLine="360"/>
        <w:jc w:val="both"/>
        <w:rPr>
          <w:sz w:val="24"/>
          <w:szCs w:val="24"/>
          <w:lang w:val="es-ES"/>
        </w:rPr>
      </w:pPr>
    </w:p>
    <w:p w:rsidR="00CE14FB" w:rsidRDefault="00CE14FB" w:rsidP="00CB6D98">
      <w:pPr>
        <w:ind w:firstLine="360"/>
        <w:jc w:val="both"/>
        <w:rPr>
          <w:sz w:val="24"/>
          <w:szCs w:val="24"/>
          <w:lang w:val="es-ES"/>
        </w:rPr>
      </w:pPr>
    </w:p>
    <w:p w:rsidR="00CE14FB" w:rsidRDefault="00CE14FB" w:rsidP="00CB6D98">
      <w:pPr>
        <w:ind w:firstLine="360"/>
        <w:jc w:val="both"/>
        <w:rPr>
          <w:sz w:val="24"/>
          <w:szCs w:val="24"/>
          <w:lang w:val="es-ES"/>
        </w:rPr>
      </w:pPr>
    </w:p>
    <w:p w:rsidR="00CE14FB" w:rsidRDefault="00CE14FB" w:rsidP="00CB6D98">
      <w:pPr>
        <w:ind w:firstLine="360"/>
        <w:jc w:val="both"/>
        <w:rPr>
          <w:sz w:val="24"/>
          <w:szCs w:val="24"/>
          <w:lang w:val="es-ES"/>
        </w:rPr>
      </w:pPr>
    </w:p>
    <w:p w:rsidR="00CE14FB" w:rsidRDefault="00CE14FB" w:rsidP="00CB6D98">
      <w:pPr>
        <w:ind w:firstLine="360"/>
        <w:jc w:val="both"/>
        <w:rPr>
          <w:sz w:val="24"/>
          <w:szCs w:val="24"/>
          <w:lang w:val="es-ES"/>
        </w:rPr>
      </w:pPr>
    </w:p>
    <w:p w:rsidR="00CE14FB" w:rsidRDefault="00CE14FB" w:rsidP="00CB6D98">
      <w:pPr>
        <w:ind w:firstLine="360"/>
        <w:jc w:val="both"/>
        <w:rPr>
          <w:sz w:val="24"/>
          <w:szCs w:val="24"/>
          <w:lang w:val="es-ES"/>
        </w:rPr>
      </w:pPr>
    </w:p>
    <w:p w:rsidR="00CE14FB" w:rsidRDefault="00CE14FB" w:rsidP="00CB6D98">
      <w:pPr>
        <w:ind w:firstLine="360"/>
        <w:jc w:val="both"/>
        <w:rPr>
          <w:sz w:val="24"/>
          <w:szCs w:val="24"/>
          <w:lang w:val="es-ES"/>
        </w:rPr>
      </w:pPr>
    </w:p>
    <w:p w:rsidR="00462CAC" w:rsidRDefault="00462CAC" w:rsidP="00CB6D98">
      <w:pPr>
        <w:ind w:firstLine="360"/>
        <w:jc w:val="both"/>
        <w:rPr>
          <w:sz w:val="24"/>
          <w:szCs w:val="24"/>
          <w:lang w:val="es-ES"/>
        </w:rPr>
      </w:pPr>
    </w:p>
    <w:p w:rsidR="00462CAC" w:rsidRDefault="00462CAC" w:rsidP="00CB6D98">
      <w:pPr>
        <w:ind w:firstLine="360"/>
        <w:jc w:val="both"/>
        <w:rPr>
          <w:sz w:val="24"/>
          <w:szCs w:val="24"/>
          <w:lang w:val="es-ES"/>
        </w:rPr>
      </w:pPr>
    </w:p>
    <w:p w:rsidR="00462CAC" w:rsidRDefault="00462CAC" w:rsidP="00CB6D98">
      <w:pPr>
        <w:ind w:firstLine="360"/>
        <w:jc w:val="both"/>
        <w:rPr>
          <w:sz w:val="24"/>
          <w:szCs w:val="24"/>
          <w:lang w:val="es-ES"/>
        </w:rPr>
      </w:pPr>
    </w:p>
    <w:p w:rsidR="00462CAC" w:rsidRDefault="00462CAC" w:rsidP="00CB6D98">
      <w:pPr>
        <w:ind w:firstLine="360"/>
        <w:jc w:val="both"/>
        <w:rPr>
          <w:sz w:val="24"/>
          <w:szCs w:val="24"/>
          <w:lang w:val="es-ES"/>
        </w:rPr>
      </w:pPr>
    </w:p>
    <w:p w:rsidR="00462CAC" w:rsidRDefault="00462CAC" w:rsidP="00CB6D98">
      <w:pPr>
        <w:ind w:firstLine="360"/>
        <w:jc w:val="both"/>
        <w:rPr>
          <w:sz w:val="24"/>
          <w:szCs w:val="24"/>
          <w:lang w:val="es-ES"/>
        </w:rPr>
      </w:pPr>
    </w:p>
    <w:p w:rsidR="00462CAC" w:rsidRDefault="00462CAC" w:rsidP="00CB6D98">
      <w:pPr>
        <w:ind w:firstLine="360"/>
        <w:jc w:val="both"/>
        <w:rPr>
          <w:sz w:val="24"/>
          <w:szCs w:val="24"/>
          <w:lang w:val="es-ES"/>
        </w:rPr>
      </w:pPr>
    </w:p>
    <w:p w:rsidR="00462CAC" w:rsidRDefault="00462CAC" w:rsidP="00CB6D98">
      <w:pPr>
        <w:ind w:firstLine="360"/>
        <w:jc w:val="both"/>
        <w:rPr>
          <w:sz w:val="24"/>
          <w:szCs w:val="24"/>
          <w:lang w:val="es-ES"/>
        </w:rPr>
      </w:pPr>
    </w:p>
    <w:p w:rsidR="00462CAC" w:rsidRDefault="00462CAC" w:rsidP="00CB6D98">
      <w:pPr>
        <w:ind w:firstLine="360"/>
        <w:jc w:val="both"/>
        <w:rPr>
          <w:sz w:val="24"/>
          <w:szCs w:val="24"/>
          <w:lang w:val="es-ES"/>
        </w:rPr>
      </w:pPr>
    </w:p>
    <w:p w:rsidR="00462CAC" w:rsidRDefault="00462CAC" w:rsidP="00CB6D98">
      <w:pPr>
        <w:ind w:firstLine="360"/>
        <w:jc w:val="both"/>
        <w:rPr>
          <w:sz w:val="24"/>
          <w:szCs w:val="24"/>
          <w:lang w:val="es-ES"/>
        </w:rPr>
      </w:pPr>
    </w:p>
    <w:p w:rsidR="00462CAC" w:rsidRDefault="00462CAC" w:rsidP="00CB6D98">
      <w:pPr>
        <w:ind w:firstLine="360"/>
        <w:jc w:val="both"/>
        <w:rPr>
          <w:sz w:val="24"/>
          <w:szCs w:val="24"/>
          <w:lang w:val="es-ES"/>
        </w:rPr>
      </w:pPr>
    </w:p>
    <w:p w:rsidR="00462CAC" w:rsidRDefault="00462CAC" w:rsidP="00CB6D98">
      <w:pPr>
        <w:ind w:firstLine="360"/>
        <w:jc w:val="both"/>
        <w:rPr>
          <w:sz w:val="24"/>
          <w:szCs w:val="24"/>
          <w:lang w:val="es-ES"/>
        </w:rPr>
      </w:pPr>
    </w:p>
    <w:p w:rsidR="00462CAC" w:rsidRDefault="00462CAC" w:rsidP="00CB6D98">
      <w:pPr>
        <w:ind w:firstLine="360"/>
        <w:jc w:val="both"/>
        <w:rPr>
          <w:sz w:val="24"/>
          <w:szCs w:val="24"/>
          <w:lang w:val="es-ES"/>
        </w:rPr>
      </w:pPr>
    </w:p>
    <w:p w:rsidR="00462CAC" w:rsidRDefault="00462CAC" w:rsidP="00CB6D98">
      <w:pPr>
        <w:ind w:firstLine="360"/>
        <w:jc w:val="both"/>
        <w:rPr>
          <w:sz w:val="24"/>
          <w:szCs w:val="24"/>
          <w:lang w:val="es-ES"/>
        </w:rPr>
      </w:pPr>
    </w:p>
    <w:p w:rsidR="00462CAC" w:rsidRDefault="00462CAC" w:rsidP="00CB6D98">
      <w:pPr>
        <w:ind w:firstLine="360"/>
        <w:jc w:val="both"/>
        <w:rPr>
          <w:sz w:val="24"/>
          <w:szCs w:val="24"/>
          <w:lang w:val="es-ES"/>
        </w:rPr>
      </w:pPr>
    </w:p>
    <w:p w:rsidR="00462CAC" w:rsidRDefault="00462CAC" w:rsidP="00CB6D98">
      <w:pPr>
        <w:ind w:firstLine="360"/>
        <w:jc w:val="both"/>
        <w:rPr>
          <w:sz w:val="24"/>
          <w:szCs w:val="24"/>
          <w:lang w:val="es-ES"/>
        </w:rPr>
      </w:pPr>
    </w:p>
    <w:p w:rsidR="00462CAC" w:rsidRDefault="00462CAC" w:rsidP="00CB6D98">
      <w:pPr>
        <w:ind w:firstLine="360"/>
        <w:jc w:val="both"/>
        <w:rPr>
          <w:sz w:val="24"/>
          <w:szCs w:val="24"/>
          <w:lang w:val="es-ES"/>
        </w:rPr>
      </w:pPr>
    </w:p>
    <w:sectPr w:rsidR="00462CAC" w:rsidSect="008A309E">
      <w:headerReference w:type="even" r:id="rId16"/>
      <w:headerReference w:type="default" r:id="rId17"/>
      <w:headerReference w:type="first" r:id="rId18"/>
      <w:pgSz w:w="12240" w:h="18720" w:code="14"/>
      <w:pgMar w:top="1440" w:right="1800" w:bottom="1440" w:left="1800" w:header="567" w:footer="39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0C2" w:rsidRDefault="009F10C2">
      <w:pPr>
        <w:rPr>
          <w:lang w:val="es-ES"/>
        </w:rPr>
      </w:pPr>
      <w:r>
        <w:rPr>
          <w:lang w:val="es-ES"/>
        </w:rPr>
        <w:separator/>
      </w:r>
    </w:p>
  </w:endnote>
  <w:endnote w:type="continuationSeparator" w:id="0">
    <w:p w:rsidR="009F10C2" w:rsidRDefault="009F10C2">
      <w:pPr>
        <w:rPr>
          <w:lang w:val="es-ES"/>
        </w:rPr>
      </w:pPr>
      <w:r>
        <w:rPr>
          <w:lang w:val="es-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0C2" w:rsidRDefault="009F10C2">
      <w:pPr>
        <w:rPr>
          <w:lang w:val="es-ES"/>
        </w:rPr>
      </w:pPr>
      <w:r>
        <w:rPr>
          <w:lang w:val="es-ES"/>
        </w:rPr>
        <w:separator/>
      </w:r>
    </w:p>
  </w:footnote>
  <w:footnote w:type="continuationSeparator" w:id="0">
    <w:p w:rsidR="009F10C2" w:rsidRDefault="009F10C2">
      <w:pPr>
        <w:rPr>
          <w:lang w:val="es-ES"/>
        </w:rPr>
      </w:pPr>
      <w:r>
        <w:rPr>
          <w:lang w:val="es-ES"/>
        </w:rPr>
        <w:separator/>
      </w:r>
    </w:p>
  </w:footnote>
  <w:footnote w:type="continuationNotice" w:id="1">
    <w:p w:rsidR="009F10C2" w:rsidRDefault="009F10C2">
      <w:pPr>
        <w:rPr>
          <w:i/>
          <w:iCs/>
          <w:sz w:val="18"/>
          <w:szCs w:val="20"/>
          <w:lang w:val="es-ES"/>
        </w:rPr>
      </w:pPr>
      <w:r>
        <w:rPr>
          <w:i/>
          <w:iCs/>
          <w:sz w:val="18"/>
          <w:szCs w:val="20"/>
          <w:lang w:val="es-ES"/>
        </w:rPr>
        <w:t>(</w:t>
      </w:r>
      <w:proofErr w:type="gramStart"/>
      <w:r>
        <w:rPr>
          <w:i/>
          <w:iCs/>
          <w:sz w:val="18"/>
          <w:szCs w:val="20"/>
          <w:lang w:val="es-ES"/>
        </w:rPr>
        <w:t>continuación</w:t>
      </w:r>
      <w:proofErr w:type="gramEnd"/>
      <w:r>
        <w:rPr>
          <w:i/>
          <w:iCs/>
          <w:sz w:val="18"/>
          <w:szCs w:val="20"/>
          <w:lang w:val="es-ES"/>
        </w:rPr>
        <w:t xml:space="preserve"> de la nota al pie)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FF5" w:rsidRDefault="00F46FF5">
    <w:pPr>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FF5" w:rsidRDefault="00F46FF5">
    <w:pPr>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FF5" w:rsidRDefault="00F46FF5">
    <w:pP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7607008"/>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pStyle w:val="Listaconvietas"/>
      <w:lvlText w:val="*"/>
      <w:lvlJc w:val="left"/>
      <w:pPr>
        <w:ind w:left="0" w:firstLine="0"/>
      </w:pPr>
    </w:lvl>
  </w:abstractNum>
  <w:abstractNum w:abstractNumId="2">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6B26182"/>
    <w:multiLevelType w:val="hybridMultilevel"/>
    <w:tmpl w:val="150A9F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7AC359BF"/>
    <w:multiLevelType w:val="hybridMultilevel"/>
    <w:tmpl w:val="598CE26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1"/>
    <w:lvlOverride w:ilvl="0">
      <w:lvl w:ilvl="0">
        <w:numFmt w:val="bullet"/>
        <w:pStyle w:val="Listaconvietas"/>
        <w:lvlText w:val=""/>
        <w:legacy w:legacy="1" w:legacySpace="0" w:legacyIndent="360"/>
        <w:lvlJc w:val="left"/>
        <w:pPr>
          <w:ind w:left="0" w:hanging="360"/>
        </w:pPr>
        <w:rPr>
          <w:rFonts w:ascii="Wingdings" w:hAnsi="Wingdings" w:hint="default"/>
          <w:sz w:val="12"/>
        </w:rPr>
      </w:lvl>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A81"/>
    <w:rsid w:val="00011AC8"/>
    <w:rsid w:val="00071A09"/>
    <w:rsid w:val="000722AC"/>
    <w:rsid w:val="0007262F"/>
    <w:rsid w:val="00093766"/>
    <w:rsid w:val="000A44F9"/>
    <w:rsid w:val="000A5710"/>
    <w:rsid w:val="00131012"/>
    <w:rsid w:val="001428C6"/>
    <w:rsid w:val="00156AFF"/>
    <w:rsid w:val="00165785"/>
    <w:rsid w:val="00166250"/>
    <w:rsid w:val="00191041"/>
    <w:rsid w:val="0019323B"/>
    <w:rsid w:val="00197D67"/>
    <w:rsid w:val="001C1A7B"/>
    <w:rsid w:val="00220DDC"/>
    <w:rsid w:val="00242846"/>
    <w:rsid w:val="00245DD3"/>
    <w:rsid w:val="002770FA"/>
    <w:rsid w:val="00295E74"/>
    <w:rsid w:val="002A285C"/>
    <w:rsid w:val="002A3E11"/>
    <w:rsid w:val="002C261B"/>
    <w:rsid w:val="002F3DB5"/>
    <w:rsid w:val="00344BFC"/>
    <w:rsid w:val="00356775"/>
    <w:rsid w:val="0038362F"/>
    <w:rsid w:val="003A74C9"/>
    <w:rsid w:val="003C4EFF"/>
    <w:rsid w:val="003E0D67"/>
    <w:rsid w:val="003E33A9"/>
    <w:rsid w:val="003F20FB"/>
    <w:rsid w:val="00402C09"/>
    <w:rsid w:val="00423D1A"/>
    <w:rsid w:val="004259ED"/>
    <w:rsid w:val="00426A1C"/>
    <w:rsid w:val="00442455"/>
    <w:rsid w:val="00450939"/>
    <w:rsid w:val="00462CAC"/>
    <w:rsid w:val="004B1D56"/>
    <w:rsid w:val="004D0756"/>
    <w:rsid w:val="004D23BE"/>
    <w:rsid w:val="004F3C93"/>
    <w:rsid w:val="004F6834"/>
    <w:rsid w:val="00515B5F"/>
    <w:rsid w:val="00527178"/>
    <w:rsid w:val="00530634"/>
    <w:rsid w:val="00540EC6"/>
    <w:rsid w:val="00541DF3"/>
    <w:rsid w:val="00547A17"/>
    <w:rsid w:val="005516AC"/>
    <w:rsid w:val="005542C6"/>
    <w:rsid w:val="00560FB0"/>
    <w:rsid w:val="00565ADB"/>
    <w:rsid w:val="00571C40"/>
    <w:rsid w:val="00576EA2"/>
    <w:rsid w:val="005B031F"/>
    <w:rsid w:val="005B3562"/>
    <w:rsid w:val="005D223A"/>
    <w:rsid w:val="0065746F"/>
    <w:rsid w:val="00667E0D"/>
    <w:rsid w:val="0067784B"/>
    <w:rsid w:val="0068369F"/>
    <w:rsid w:val="006A093D"/>
    <w:rsid w:val="006A5670"/>
    <w:rsid w:val="006D6B68"/>
    <w:rsid w:val="006E0D41"/>
    <w:rsid w:val="006E6E20"/>
    <w:rsid w:val="006F0D56"/>
    <w:rsid w:val="00701305"/>
    <w:rsid w:val="0075044C"/>
    <w:rsid w:val="00753A18"/>
    <w:rsid w:val="007574FB"/>
    <w:rsid w:val="007640AD"/>
    <w:rsid w:val="007851B8"/>
    <w:rsid w:val="007962BC"/>
    <w:rsid w:val="007B6A22"/>
    <w:rsid w:val="007D6C9C"/>
    <w:rsid w:val="007F0051"/>
    <w:rsid w:val="007F2B83"/>
    <w:rsid w:val="00855DDD"/>
    <w:rsid w:val="00865114"/>
    <w:rsid w:val="008A309E"/>
    <w:rsid w:val="0094008C"/>
    <w:rsid w:val="009B2C9C"/>
    <w:rsid w:val="009C56FF"/>
    <w:rsid w:val="009D7821"/>
    <w:rsid w:val="009E4B73"/>
    <w:rsid w:val="009E54DC"/>
    <w:rsid w:val="009F10C2"/>
    <w:rsid w:val="00A01610"/>
    <w:rsid w:val="00A71361"/>
    <w:rsid w:val="00A74625"/>
    <w:rsid w:val="00A9169F"/>
    <w:rsid w:val="00A97577"/>
    <w:rsid w:val="00AB25C4"/>
    <w:rsid w:val="00B0292B"/>
    <w:rsid w:val="00B05615"/>
    <w:rsid w:val="00B06EED"/>
    <w:rsid w:val="00B161EA"/>
    <w:rsid w:val="00B270D0"/>
    <w:rsid w:val="00B55A81"/>
    <w:rsid w:val="00B65EE6"/>
    <w:rsid w:val="00B70F5D"/>
    <w:rsid w:val="00BB44E6"/>
    <w:rsid w:val="00C21B02"/>
    <w:rsid w:val="00C23A9D"/>
    <w:rsid w:val="00C44992"/>
    <w:rsid w:val="00C47131"/>
    <w:rsid w:val="00C51B15"/>
    <w:rsid w:val="00C81660"/>
    <w:rsid w:val="00CB5BD1"/>
    <w:rsid w:val="00CB6D98"/>
    <w:rsid w:val="00CC2294"/>
    <w:rsid w:val="00CC6AB7"/>
    <w:rsid w:val="00CE14FB"/>
    <w:rsid w:val="00CE332F"/>
    <w:rsid w:val="00D27690"/>
    <w:rsid w:val="00D361F1"/>
    <w:rsid w:val="00D8341A"/>
    <w:rsid w:val="00D87449"/>
    <w:rsid w:val="00DB0B50"/>
    <w:rsid w:val="00DB1910"/>
    <w:rsid w:val="00DE4581"/>
    <w:rsid w:val="00DF18AE"/>
    <w:rsid w:val="00E123DA"/>
    <w:rsid w:val="00E22CDE"/>
    <w:rsid w:val="00E2493E"/>
    <w:rsid w:val="00ED45F0"/>
    <w:rsid w:val="00F007FE"/>
    <w:rsid w:val="00F3593A"/>
    <w:rsid w:val="00F46FF5"/>
    <w:rsid w:val="00F52182"/>
    <w:rsid w:val="00F5671D"/>
    <w:rsid w:val="00F62350"/>
    <w:rsid w:val="00F816D4"/>
    <w:rsid w:val="00FA04E0"/>
    <w:rsid w:val="00FF1006"/>
    <w:rsid w:val="00FF4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5DBF44-2D81-4ACB-9C17-F1F49169D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2C6"/>
    <w:rPr>
      <w:rFonts w:ascii="Garamond" w:hAnsi="Garamond" w:cs="Garamond"/>
      <w:sz w:val="22"/>
      <w:szCs w:val="22"/>
      <w:lang w:val="en-US" w:eastAsia="es-ES" w:bidi="hi-IN"/>
    </w:rPr>
  </w:style>
  <w:style w:type="paragraph" w:styleId="Ttulo1">
    <w:name w:val="heading 1"/>
    <w:basedOn w:val="Normal"/>
    <w:next w:val="Textoindependiente"/>
    <w:qFormat/>
    <w:pPr>
      <w:keepNext/>
      <w:keepLines/>
      <w:pBdr>
        <w:top w:val="single" w:sz="6" w:space="6" w:color="808080"/>
        <w:bottom w:val="single" w:sz="6" w:space="6" w:color="808080"/>
      </w:pBdr>
      <w:spacing w:after="240" w:line="240" w:lineRule="atLeast"/>
      <w:jc w:val="center"/>
      <w:outlineLvl w:val="0"/>
    </w:pPr>
    <w:rPr>
      <w:rFonts w:cs="Times New Roman"/>
      <w:b/>
      <w:caps/>
      <w:spacing w:val="20"/>
      <w:kern w:val="16"/>
      <w:sz w:val="18"/>
      <w:szCs w:val="18"/>
    </w:rPr>
  </w:style>
  <w:style w:type="paragraph" w:styleId="Ttulo2">
    <w:name w:val="heading 2"/>
    <w:basedOn w:val="Normal"/>
    <w:next w:val="Textoindependiente"/>
    <w:qFormat/>
    <w:pPr>
      <w:keepNext/>
      <w:keepLines/>
      <w:spacing w:after="180" w:line="240" w:lineRule="atLeast"/>
      <w:jc w:val="center"/>
      <w:outlineLvl w:val="1"/>
    </w:pPr>
    <w:rPr>
      <w:rFonts w:cs="Times New Roman"/>
      <w:b/>
      <w:caps/>
      <w:spacing w:val="10"/>
      <w:kern w:val="20"/>
      <w:sz w:val="18"/>
      <w:szCs w:val="18"/>
    </w:rPr>
  </w:style>
  <w:style w:type="paragraph" w:styleId="Ttulo3">
    <w:name w:val="heading 3"/>
    <w:basedOn w:val="Normal"/>
    <w:next w:val="Textoindependiente"/>
    <w:qFormat/>
    <w:pPr>
      <w:keepNext/>
      <w:keepLines/>
      <w:spacing w:before="240" w:after="180" w:line="240" w:lineRule="atLeast"/>
      <w:outlineLvl w:val="2"/>
    </w:pPr>
    <w:rPr>
      <w:rFonts w:cs="Times New Roman"/>
      <w:caps/>
      <w:kern w:val="20"/>
      <w:sz w:val="20"/>
      <w:szCs w:val="20"/>
    </w:rPr>
  </w:style>
  <w:style w:type="paragraph" w:styleId="Ttulo4">
    <w:name w:val="heading 4"/>
    <w:basedOn w:val="Normal"/>
    <w:next w:val="Textoindependiente"/>
    <w:qFormat/>
    <w:pPr>
      <w:keepNext/>
      <w:keepLines/>
      <w:spacing w:before="240" w:after="240" w:line="240" w:lineRule="atLeast"/>
      <w:ind w:left="360"/>
      <w:outlineLvl w:val="3"/>
    </w:pPr>
    <w:rPr>
      <w:rFonts w:cs="Times New Roman"/>
      <w:i/>
      <w:spacing w:val="5"/>
      <w:kern w:val="20"/>
      <w:sz w:val="24"/>
      <w:szCs w:val="24"/>
    </w:rPr>
  </w:style>
  <w:style w:type="paragraph" w:styleId="Ttulo5">
    <w:name w:val="heading 5"/>
    <w:basedOn w:val="Normal"/>
    <w:next w:val="Textoindependiente"/>
    <w:qFormat/>
    <w:pPr>
      <w:keepNext/>
      <w:keepLines/>
      <w:spacing w:line="240" w:lineRule="atLeast"/>
      <w:outlineLvl w:val="4"/>
    </w:pPr>
    <w:rPr>
      <w:rFonts w:cs="Times New Roman"/>
      <w:b/>
      <w:kern w:val="20"/>
    </w:rPr>
  </w:style>
  <w:style w:type="paragraph" w:styleId="Ttulo6">
    <w:name w:val="heading 6"/>
    <w:basedOn w:val="Normal"/>
    <w:next w:val="Textoindependiente"/>
    <w:qFormat/>
    <w:pPr>
      <w:keepNext/>
      <w:keepLines/>
      <w:spacing w:line="240" w:lineRule="atLeast"/>
      <w:outlineLvl w:val="5"/>
    </w:pPr>
    <w:rPr>
      <w:rFonts w:cs="Times New Roman"/>
      <w:i/>
      <w:spacing w:val="5"/>
      <w:kern w:val="20"/>
    </w:rPr>
  </w:style>
  <w:style w:type="paragraph" w:styleId="Ttulo7">
    <w:name w:val="heading 7"/>
    <w:basedOn w:val="Normal"/>
    <w:next w:val="Textoindependiente"/>
    <w:qFormat/>
    <w:pPr>
      <w:keepNext/>
      <w:keepLines/>
      <w:spacing w:line="240" w:lineRule="atLeast"/>
      <w:outlineLvl w:val="6"/>
    </w:pPr>
    <w:rPr>
      <w:caps/>
      <w:kern w:val="20"/>
      <w:sz w:val="18"/>
      <w:szCs w:val="18"/>
    </w:rPr>
  </w:style>
  <w:style w:type="paragraph" w:styleId="Ttulo8">
    <w:name w:val="heading 8"/>
    <w:basedOn w:val="Normal"/>
    <w:next w:val="Textoindependiente"/>
    <w:qFormat/>
    <w:pPr>
      <w:keepNext/>
      <w:keepLines/>
      <w:spacing w:line="240" w:lineRule="atLeast"/>
      <w:ind w:firstLine="360"/>
      <w:outlineLvl w:val="7"/>
    </w:pPr>
    <w:rPr>
      <w:i/>
      <w:spacing w:val="5"/>
      <w:kern w:val="20"/>
    </w:rPr>
  </w:style>
  <w:style w:type="paragraph" w:styleId="Ttulo9">
    <w:name w:val="heading 9"/>
    <w:basedOn w:val="Normal"/>
    <w:next w:val="Textoindependiente"/>
    <w:qFormat/>
    <w:pPr>
      <w:keepNext/>
      <w:keepLines/>
      <w:spacing w:line="240" w:lineRule="atLeast"/>
      <w:outlineLvl w:val="8"/>
    </w:pPr>
    <w:rPr>
      <w:spacing w:val="-5"/>
      <w:kern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spacing w:after="240" w:line="240" w:lineRule="atLeast"/>
      <w:ind w:firstLine="360"/>
      <w:jc w:val="both"/>
    </w:pPr>
  </w:style>
  <w:style w:type="paragraph" w:styleId="ndice1">
    <w:name w:val="index 1"/>
    <w:basedOn w:val="Normal"/>
    <w:semiHidden/>
    <w:rPr>
      <w:sz w:val="21"/>
      <w:szCs w:val="21"/>
    </w:rPr>
  </w:style>
  <w:style w:type="paragraph" w:styleId="ndice2">
    <w:name w:val="index 2"/>
    <w:basedOn w:val="Normal"/>
    <w:semiHidden/>
    <w:pPr>
      <w:ind w:hanging="240"/>
    </w:pPr>
    <w:rPr>
      <w:sz w:val="21"/>
      <w:szCs w:val="21"/>
    </w:rPr>
  </w:style>
  <w:style w:type="paragraph" w:styleId="ndice3">
    <w:name w:val="index 3"/>
    <w:basedOn w:val="Normal"/>
    <w:semiHidden/>
    <w:pPr>
      <w:ind w:left="480" w:hanging="240"/>
    </w:pPr>
    <w:rPr>
      <w:sz w:val="21"/>
      <w:szCs w:val="21"/>
    </w:rPr>
  </w:style>
  <w:style w:type="paragraph" w:styleId="ndice4">
    <w:name w:val="index 4"/>
    <w:basedOn w:val="Normal"/>
    <w:semiHidden/>
    <w:pPr>
      <w:ind w:left="600" w:hanging="240"/>
    </w:pPr>
    <w:rPr>
      <w:sz w:val="21"/>
      <w:szCs w:val="21"/>
    </w:rPr>
  </w:style>
  <w:style w:type="paragraph" w:styleId="ndice5">
    <w:name w:val="index 5"/>
    <w:basedOn w:val="Normal"/>
    <w:semiHidden/>
    <w:pPr>
      <w:ind w:left="840"/>
    </w:pPr>
    <w:rPr>
      <w:sz w:val="21"/>
      <w:szCs w:val="21"/>
    </w:rPr>
  </w:style>
  <w:style w:type="paragraph" w:styleId="TDC1">
    <w:name w:val="toc 1"/>
    <w:basedOn w:val="Normal"/>
    <w:semiHidden/>
    <w:pPr>
      <w:tabs>
        <w:tab w:val="right" w:leader="dot" w:pos="5040"/>
      </w:tabs>
    </w:pPr>
  </w:style>
  <w:style w:type="paragraph" w:styleId="TDC2">
    <w:name w:val="toc 2"/>
    <w:basedOn w:val="Normal"/>
    <w:semiHidden/>
    <w:pPr>
      <w:tabs>
        <w:tab w:val="right" w:leader="dot" w:pos="5040"/>
      </w:tabs>
    </w:pPr>
  </w:style>
  <w:style w:type="paragraph" w:styleId="TDC3">
    <w:name w:val="toc 3"/>
    <w:basedOn w:val="Normal"/>
    <w:semiHidden/>
    <w:pPr>
      <w:tabs>
        <w:tab w:val="right" w:leader="dot" w:pos="5040"/>
      </w:tabs>
    </w:pPr>
    <w:rPr>
      <w:i/>
    </w:rPr>
  </w:style>
  <w:style w:type="paragraph" w:styleId="TDC4">
    <w:name w:val="toc 4"/>
    <w:basedOn w:val="Normal"/>
    <w:semiHidden/>
    <w:pPr>
      <w:tabs>
        <w:tab w:val="right" w:leader="dot" w:pos="5040"/>
      </w:tabs>
    </w:pPr>
    <w:rPr>
      <w:i/>
    </w:rPr>
  </w:style>
  <w:style w:type="paragraph" w:styleId="TDC5">
    <w:name w:val="toc 5"/>
    <w:basedOn w:val="Normal"/>
    <w:semiHidden/>
    <w:rPr>
      <w:i/>
    </w:rPr>
  </w:style>
  <w:style w:type="paragraph" w:styleId="Textonotapie">
    <w:name w:val="footnote text"/>
    <w:basedOn w:val="Normal"/>
    <w:link w:val="TextonotapieCar"/>
    <w:uiPriority w:val="99"/>
  </w:style>
  <w:style w:type="paragraph" w:styleId="Textocomentario">
    <w:name w:val="annotation text"/>
    <w:basedOn w:val="Normal"/>
    <w:semiHidden/>
  </w:style>
  <w:style w:type="paragraph" w:styleId="Ttulodendice">
    <w:name w:val="index heading"/>
    <w:basedOn w:val="Normal"/>
    <w:next w:val="ndice1"/>
    <w:semiHidden/>
    <w:pPr>
      <w:spacing w:line="480" w:lineRule="atLeast"/>
    </w:pPr>
    <w:rPr>
      <w:spacing w:val="-5"/>
      <w:sz w:val="28"/>
      <w:szCs w:val="28"/>
    </w:rPr>
  </w:style>
  <w:style w:type="paragraph" w:styleId="Descripcin">
    <w:name w:val="caption"/>
    <w:basedOn w:val="Normal"/>
    <w:next w:val="Textoindependiente"/>
    <w:qFormat/>
    <w:pPr>
      <w:spacing w:after="240"/>
      <w:contextualSpacing/>
      <w:jc w:val="center"/>
    </w:pPr>
    <w:rPr>
      <w:i/>
    </w:rPr>
  </w:style>
  <w:style w:type="paragraph" w:styleId="Tabladeilustraciones">
    <w:name w:val="table of figures"/>
    <w:basedOn w:val="Normal"/>
    <w:semiHidden/>
  </w:style>
  <w:style w:type="paragraph" w:styleId="Textonotaalfinal">
    <w:name w:val="endnote text"/>
    <w:basedOn w:val="Normal"/>
    <w:semiHidden/>
  </w:style>
  <w:style w:type="paragraph" w:styleId="Textoconsangra">
    <w:name w:val="table of authorities"/>
    <w:basedOn w:val="Normal"/>
    <w:semiHidden/>
    <w:pPr>
      <w:tabs>
        <w:tab w:val="right" w:leader="dot" w:pos="7560"/>
      </w:tabs>
    </w:pPr>
  </w:style>
  <w:style w:type="paragraph" w:styleId="Textomacro">
    <w:name w:val="macro"/>
    <w:basedOn w:val="Textoindependiente"/>
    <w:semiHidden/>
    <w:rPr>
      <w:rFonts w:ascii="Courier New" w:hAnsi="Courier New" w:cs="Courier New"/>
    </w:rPr>
  </w:style>
  <w:style w:type="paragraph" w:styleId="Encabezadodelista">
    <w:name w:val="toa heading"/>
    <w:basedOn w:val="Normal"/>
    <w:next w:val="Textoconsangra"/>
    <w:semiHidden/>
    <w:pPr>
      <w:keepNext/>
      <w:spacing w:line="720" w:lineRule="atLeast"/>
    </w:pPr>
    <w:rPr>
      <w:caps/>
      <w:spacing w:val="-10"/>
      <w:kern w:val="28"/>
    </w:rPr>
  </w:style>
  <w:style w:type="paragraph" w:styleId="Listaconvietas">
    <w:name w:val="List Bullet"/>
    <w:basedOn w:val="Normal"/>
    <w:pPr>
      <w:numPr>
        <w:numId w:val="3"/>
      </w:numPr>
      <w:spacing w:after="240" w:line="240" w:lineRule="atLeast"/>
      <w:ind w:left="720" w:right="720"/>
      <w:jc w:val="both"/>
    </w:pPr>
  </w:style>
  <w:style w:type="paragraph" w:styleId="Subttulo">
    <w:name w:val="Subtitle"/>
    <w:basedOn w:val="Puesto"/>
    <w:next w:val="Textoindependiente"/>
    <w:qFormat/>
    <w:pPr>
      <w:spacing w:after="420"/>
    </w:pPr>
    <w:rPr>
      <w:spacing w:val="20"/>
      <w:sz w:val="22"/>
      <w:szCs w:val="22"/>
    </w:rPr>
  </w:style>
  <w:style w:type="paragraph" w:styleId="Puesto">
    <w:name w:val="Title"/>
    <w:basedOn w:val="Normal"/>
    <w:next w:val="Subttulo"/>
    <w:qFormat/>
    <w:pPr>
      <w:keepNext/>
      <w:keepLines/>
      <w:spacing w:before="140"/>
      <w:jc w:val="center"/>
    </w:pPr>
    <w:rPr>
      <w:caps/>
      <w:spacing w:val="60"/>
      <w:kern w:val="20"/>
      <w:sz w:val="44"/>
      <w:szCs w:val="44"/>
    </w:rPr>
  </w:style>
  <w:style w:type="character" w:customStyle="1" w:styleId="TextoindependienteCar">
    <w:name w:val="Texto independiente Car"/>
    <w:link w:val="Textoindependiente"/>
    <w:locked/>
    <w:rPr>
      <w:rFonts w:ascii="Garamond" w:hAnsi="Garamond" w:hint="default"/>
      <w:sz w:val="22"/>
      <w:lang w:val="es-ES" w:eastAsia="es-ES" w:bidi="es-ES"/>
    </w:rPr>
  </w:style>
  <w:style w:type="character" w:customStyle="1" w:styleId="BlockQuotationChar">
    <w:name w:val="Block Quotation Char"/>
    <w:link w:val="BlockQuotation"/>
    <w:locked/>
    <w:rPr>
      <w:rFonts w:ascii="Garamond" w:hAnsi="Garamond" w:hint="default"/>
      <w:i/>
      <w:iCs w:val="0"/>
      <w:sz w:val="22"/>
      <w:lang w:val="es-ES" w:eastAsia="es-ES" w:bidi="es-ES"/>
    </w:rPr>
  </w:style>
  <w:style w:type="paragraph" w:customStyle="1" w:styleId="BlockQuotation">
    <w:name w:val="Block Quotation"/>
    <w:basedOn w:val="Textoindependiente"/>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lang w:val="es-ES" w:bidi="es-ES"/>
    </w:rPr>
  </w:style>
  <w:style w:type="paragraph" w:customStyle="1" w:styleId="SubtitleCover">
    <w:name w:val="Subtitle Cover"/>
    <w:basedOn w:val="TitleCover"/>
    <w:next w:val="Textoindependiente"/>
    <w:pPr>
      <w:pBdr>
        <w:top w:val="single" w:sz="6" w:space="12" w:color="808080"/>
      </w:pBdr>
      <w:spacing w:after="0" w:line="440" w:lineRule="atLeast"/>
    </w:pPr>
    <w:rPr>
      <w:spacing w:val="30"/>
      <w:sz w:val="36"/>
      <w:szCs w:val="36"/>
    </w:rPr>
  </w:style>
  <w:style w:type="paragraph" w:customStyle="1" w:styleId="TitleCover">
    <w:name w:val="Title Cover"/>
    <w:basedOn w:val="Normal"/>
    <w:next w:val="SubtitleCover"/>
    <w:pPr>
      <w:keepNext/>
      <w:keepLines/>
      <w:spacing w:after="240" w:line="720" w:lineRule="atLeast"/>
      <w:jc w:val="center"/>
    </w:pPr>
    <w:rPr>
      <w:caps/>
      <w:spacing w:val="65"/>
      <w:kern w:val="20"/>
      <w:sz w:val="64"/>
      <w:szCs w:val="64"/>
      <w:lang w:val="es-ES" w:bidi="es-ES"/>
    </w:rPr>
  </w:style>
  <w:style w:type="paragraph" w:customStyle="1" w:styleId="Columnheadings">
    <w:name w:val="Column headings"/>
    <w:basedOn w:val="Normal"/>
    <w:pPr>
      <w:keepNext/>
      <w:spacing w:before="80"/>
      <w:jc w:val="center"/>
    </w:pPr>
    <w:rPr>
      <w:caps/>
      <w:sz w:val="14"/>
      <w:szCs w:val="14"/>
      <w:lang w:val="es-ES" w:bidi="es-ES"/>
    </w:rPr>
  </w:style>
  <w:style w:type="paragraph" w:customStyle="1" w:styleId="CompanyName">
    <w:name w:val="Company Name"/>
    <w:basedOn w:val="Textoindependiente"/>
    <w:pPr>
      <w:keepLines/>
      <w:framePr w:w="8640" w:h="1440" w:wrap="notBeside" w:vAnchor="page" w:hAnchor="margin" w:xAlign="center" w:y="889"/>
      <w:spacing w:after="40"/>
      <w:ind w:firstLine="0"/>
      <w:jc w:val="center"/>
    </w:pPr>
    <w:rPr>
      <w:caps/>
      <w:spacing w:val="75"/>
      <w:kern w:val="18"/>
      <w:lang w:val="es-ES" w:bidi="es-ES"/>
    </w:rPr>
  </w:style>
  <w:style w:type="paragraph" w:customStyle="1" w:styleId="Rowlabels">
    <w:name w:val="Row labels"/>
    <w:basedOn w:val="Normal"/>
    <w:pPr>
      <w:keepNext/>
      <w:spacing w:before="40"/>
    </w:pPr>
    <w:rPr>
      <w:sz w:val="18"/>
      <w:szCs w:val="18"/>
      <w:lang w:val="es-ES" w:bidi="es-ES"/>
    </w:rPr>
  </w:style>
  <w:style w:type="paragraph" w:customStyle="1" w:styleId="Percentage">
    <w:name w:val="Percentage"/>
    <w:basedOn w:val="Normal"/>
    <w:pPr>
      <w:spacing w:before="40"/>
      <w:jc w:val="center"/>
    </w:pPr>
    <w:rPr>
      <w:sz w:val="18"/>
      <w:szCs w:val="18"/>
      <w:lang w:val="es-ES" w:bidi="es-ES"/>
    </w:rPr>
  </w:style>
  <w:style w:type="character" w:customStyle="1" w:styleId="NumberedListChar">
    <w:name w:val="Numbered List Char"/>
    <w:link w:val="NumberedList"/>
    <w:locked/>
    <w:rPr>
      <w:rFonts w:ascii="Garamond" w:hAnsi="Garamond" w:hint="default"/>
      <w:sz w:val="22"/>
      <w:lang w:val="es-ES" w:eastAsia="es-ES" w:bidi="es-ES"/>
    </w:rPr>
  </w:style>
  <w:style w:type="paragraph" w:customStyle="1" w:styleId="NumberedList">
    <w:name w:val="Numbered List"/>
    <w:basedOn w:val="Normal"/>
    <w:link w:val="NumberedListChar"/>
    <w:pPr>
      <w:numPr>
        <w:numId w:val="5"/>
      </w:numPr>
      <w:spacing w:after="240" w:line="312" w:lineRule="auto"/>
      <w:contextualSpacing/>
    </w:pPr>
    <w:rPr>
      <w:lang w:val="es-ES" w:bidi="es-ES"/>
    </w:rPr>
  </w:style>
  <w:style w:type="character" w:customStyle="1" w:styleId="NumberedListBoldChar">
    <w:name w:val="Numbered List Bold Char"/>
    <w:link w:val="NumberedListBold"/>
    <w:locked/>
    <w:rPr>
      <w:rFonts w:ascii="Garamond" w:hAnsi="Garamond" w:hint="default"/>
      <w:b/>
      <w:bCs/>
      <w:sz w:val="22"/>
      <w:lang w:val="es-ES" w:eastAsia="es-ES" w:bidi="es-ES"/>
    </w:rPr>
  </w:style>
  <w:style w:type="paragraph" w:customStyle="1" w:styleId="NumberedListBold">
    <w:name w:val="Numbered List Bold"/>
    <w:basedOn w:val="NumberedList"/>
    <w:link w:val="NumberedListBoldChar"/>
    <w:rPr>
      <w:b/>
      <w:bCs/>
    </w:rPr>
  </w:style>
  <w:style w:type="paragraph" w:customStyle="1" w:styleId="LineSpace">
    <w:name w:val="Line Space"/>
    <w:basedOn w:val="Normal"/>
    <w:rPr>
      <w:rFonts w:ascii="Verdana" w:hAnsi="Verdana" w:cs="Verdana"/>
      <w:sz w:val="12"/>
      <w:szCs w:val="12"/>
      <w:lang w:val="es-ES" w:bidi="es-ES"/>
    </w:rPr>
  </w:style>
  <w:style w:type="character" w:styleId="Refdenotaalpie">
    <w:name w:val="footnote reference"/>
    <w:uiPriority w:val="99"/>
    <w:rPr>
      <w:vertAlign w:val="superscript"/>
    </w:rPr>
  </w:style>
  <w:style w:type="character" w:styleId="Refdecomentario">
    <w:name w:val="annotation reference"/>
    <w:semiHidden/>
    <w:rPr>
      <w:sz w:val="16"/>
    </w:rPr>
  </w:style>
  <w:style w:type="character" w:styleId="Nmerodepgina">
    <w:name w:val="page number"/>
    <w:rPr>
      <w:sz w:val="24"/>
    </w:rPr>
  </w:style>
  <w:style w:type="character" w:styleId="Refdenotaalfinal">
    <w:name w:val="endnote reference"/>
    <w:semiHidden/>
    <w:rPr>
      <w:vertAlign w:val="superscript"/>
    </w:rPr>
  </w:style>
  <w:style w:type="character" w:customStyle="1" w:styleId="Lead-inEmphasis">
    <w:name w:val="Lead-in Emphasis"/>
    <w:rPr>
      <w:caps/>
      <w:sz w:val="18"/>
      <w:lang w:val="es-ES" w:eastAsia="es-ES" w:bidi="es-ES"/>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Cita">
    <w:name w:val="Quote"/>
    <w:basedOn w:val="Normal"/>
    <w:next w:val="Normal"/>
    <w:link w:val="CitaCar"/>
    <w:uiPriority w:val="29"/>
    <w:qFormat/>
    <w:rsid w:val="00E123DA"/>
    <w:pPr>
      <w:spacing w:before="200" w:after="160"/>
      <w:ind w:left="864" w:right="864"/>
      <w:jc w:val="center"/>
    </w:pPr>
    <w:rPr>
      <w:rFonts w:cs="Mangal"/>
      <w:i/>
      <w:iCs/>
      <w:color w:val="404040"/>
      <w:szCs w:val="20"/>
    </w:rPr>
  </w:style>
  <w:style w:type="character" w:customStyle="1" w:styleId="CitaCar">
    <w:name w:val="Cita Car"/>
    <w:link w:val="Cita"/>
    <w:uiPriority w:val="29"/>
    <w:rsid w:val="00E123DA"/>
    <w:rPr>
      <w:rFonts w:ascii="Garamond" w:hAnsi="Garamond" w:cs="Mangal"/>
      <w:i/>
      <w:iCs/>
      <w:color w:val="404040"/>
      <w:sz w:val="22"/>
      <w:lang w:eastAsia="es-ES" w:bidi="hi-IN"/>
    </w:rPr>
  </w:style>
  <w:style w:type="character" w:customStyle="1" w:styleId="EncabezadoCar">
    <w:name w:val="Encabezado Car"/>
    <w:link w:val="Encabezado"/>
    <w:uiPriority w:val="99"/>
    <w:rsid w:val="00E123DA"/>
    <w:rPr>
      <w:rFonts w:ascii="Garamond" w:hAnsi="Garamond" w:cs="Garamond"/>
      <w:sz w:val="22"/>
      <w:szCs w:val="22"/>
      <w:lang w:eastAsia="es-ES" w:bidi="hi-IN"/>
    </w:rPr>
  </w:style>
  <w:style w:type="character" w:customStyle="1" w:styleId="PiedepginaCar">
    <w:name w:val="Pie de página Car"/>
    <w:link w:val="Piedepgina"/>
    <w:uiPriority w:val="99"/>
    <w:rsid w:val="00530634"/>
    <w:rPr>
      <w:rFonts w:ascii="Garamond" w:hAnsi="Garamond" w:cs="Garamond"/>
      <w:sz w:val="22"/>
      <w:szCs w:val="22"/>
      <w:lang w:val="en-US" w:eastAsia="es-ES" w:bidi="hi-IN"/>
    </w:rPr>
  </w:style>
  <w:style w:type="character" w:customStyle="1" w:styleId="TextonotapieCar">
    <w:name w:val="Texto nota pie Car"/>
    <w:basedOn w:val="Fuentedeprrafopredeter"/>
    <w:link w:val="Textonotapie"/>
    <w:uiPriority w:val="99"/>
    <w:rsid w:val="00423D1A"/>
    <w:rPr>
      <w:rFonts w:ascii="Garamond" w:hAnsi="Garamond" w:cs="Garamond"/>
      <w:sz w:val="22"/>
      <w:szCs w:val="22"/>
      <w:lang w:val="en-US" w:eastAsia="es-ES" w:bidi="hi-IN"/>
    </w:rPr>
  </w:style>
  <w:style w:type="paragraph" w:styleId="Prrafodelista">
    <w:name w:val="List Paragraph"/>
    <w:basedOn w:val="Normal"/>
    <w:uiPriority w:val="34"/>
    <w:qFormat/>
    <w:rsid w:val="004F6834"/>
    <w:pPr>
      <w:ind w:left="720"/>
      <w:contextualSpacing/>
    </w:pPr>
    <w:rPr>
      <w:rFonts w:ascii="Times New Roman" w:eastAsiaTheme="minorHAnsi" w:hAnsi="Times New Roman" w:cs="Times New Roman"/>
      <w:sz w:val="24"/>
      <w:szCs w:val="24"/>
      <w:lang w:val="es-CO" w:eastAsia="es-CO" w:bidi="ar-SA"/>
    </w:rPr>
  </w:style>
  <w:style w:type="paragraph" w:styleId="Textodeglobo">
    <w:name w:val="Balloon Text"/>
    <w:basedOn w:val="Normal"/>
    <w:link w:val="TextodegloboCar"/>
    <w:semiHidden/>
    <w:unhideWhenUsed/>
    <w:rsid w:val="00D361F1"/>
    <w:rPr>
      <w:rFonts w:ascii="Segoe UI" w:hAnsi="Segoe UI" w:cs="Mangal"/>
      <w:sz w:val="18"/>
      <w:szCs w:val="16"/>
    </w:rPr>
  </w:style>
  <w:style w:type="character" w:customStyle="1" w:styleId="TextodegloboCar">
    <w:name w:val="Texto de globo Car"/>
    <w:basedOn w:val="Fuentedeprrafopredeter"/>
    <w:link w:val="Textodeglobo"/>
    <w:semiHidden/>
    <w:rsid w:val="00D361F1"/>
    <w:rPr>
      <w:rFonts w:ascii="Segoe UI" w:hAnsi="Segoe UI" w:cs="Mangal"/>
      <w:sz w:val="18"/>
      <w:szCs w:val="16"/>
      <w:lang w:val="en-US" w:eastAsia="es-E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09777">
      <w:bodyDiv w:val="1"/>
      <w:marLeft w:val="0"/>
      <w:marRight w:val="0"/>
      <w:marTop w:val="0"/>
      <w:marBottom w:val="0"/>
      <w:divBdr>
        <w:top w:val="none" w:sz="0" w:space="0" w:color="auto"/>
        <w:left w:val="none" w:sz="0" w:space="0" w:color="auto"/>
        <w:bottom w:val="none" w:sz="0" w:space="0" w:color="auto"/>
        <w:right w:val="none" w:sz="0" w:space="0" w:color="auto"/>
      </w:divBdr>
    </w:div>
    <w:div w:id="458762174">
      <w:bodyDiv w:val="1"/>
      <w:marLeft w:val="0"/>
      <w:marRight w:val="0"/>
      <w:marTop w:val="0"/>
      <w:marBottom w:val="0"/>
      <w:divBdr>
        <w:top w:val="none" w:sz="0" w:space="0" w:color="auto"/>
        <w:left w:val="none" w:sz="0" w:space="0" w:color="auto"/>
        <w:bottom w:val="none" w:sz="0" w:space="0" w:color="auto"/>
        <w:right w:val="none" w:sz="0" w:space="0" w:color="auto"/>
      </w:divBdr>
    </w:div>
    <w:div w:id="1033459668">
      <w:bodyDiv w:val="1"/>
      <w:marLeft w:val="0"/>
      <w:marRight w:val="0"/>
      <w:marTop w:val="0"/>
      <w:marBottom w:val="0"/>
      <w:divBdr>
        <w:top w:val="none" w:sz="0" w:space="0" w:color="auto"/>
        <w:left w:val="none" w:sz="0" w:space="0" w:color="auto"/>
        <w:bottom w:val="none" w:sz="0" w:space="0" w:color="auto"/>
        <w:right w:val="none" w:sz="0" w:space="0" w:color="auto"/>
      </w:divBdr>
    </w:div>
    <w:div w:id="1798184125">
      <w:bodyDiv w:val="1"/>
      <w:marLeft w:val="0"/>
      <w:marRight w:val="0"/>
      <w:marTop w:val="0"/>
      <w:marBottom w:val="0"/>
      <w:divBdr>
        <w:top w:val="none" w:sz="0" w:space="0" w:color="auto"/>
        <w:left w:val="none" w:sz="0" w:space="0" w:color="auto"/>
        <w:bottom w:val="none" w:sz="0" w:space="0" w:color="auto"/>
        <w:right w:val="none" w:sz="0" w:space="0" w:color="auto"/>
      </w:divBdr>
    </w:div>
    <w:div w:id="18893676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molina\AppData\Roaming\Microsoft\Plantillas\Informe%20empresarial%20(tema%20Elegan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EF8584FAD5E54D9C6B8E283355D3F1" ma:contentTypeVersion="0" ma:contentTypeDescription="Create a new document." ma:contentTypeScope="" ma:versionID="1ec879953dea35d294f1db6df13dae85">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B3B648-E8AC-44A1-8814-6495F255340B}"/>
</file>

<file path=customXml/itemProps2.xml><?xml version="1.0" encoding="utf-8"?>
<ds:datastoreItem xmlns:ds="http://schemas.openxmlformats.org/officeDocument/2006/customXml" ds:itemID="{132B8D8D-38FE-4AD3-92DD-F099EEA19FFB}"/>
</file>

<file path=customXml/itemProps3.xml><?xml version="1.0" encoding="utf-8"?>
<ds:datastoreItem xmlns:ds="http://schemas.openxmlformats.org/officeDocument/2006/customXml" ds:itemID="{07503C78-3091-4420-AE8C-F0130747DA68}"/>
</file>

<file path=customXml/itemProps4.xml><?xml version="1.0" encoding="utf-8"?>
<ds:datastoreItem xmlns:ds="http://schemas.openxmlformats.org/officeDocument/2006/customXml" ds:itemID="{84219DEC-3022-4ACB-8316-82B2493BFF4D}"/>
</file>

<file path=docProps/app.xml><?xml version="1.0" encoding="utf-8"?>
<Properties xmlns="http://schemas.openxmlformats.org/officeDocument/2006/extended-properties" xmlns:vt="http://schemas.openxmlformats.org/officeDocument/2006/docPropsVTypes">
  <Template>Informe empresarial (tema Elegante)</Template>
  <TotalTime>30</TotalTime>
  <Pages>11</Pages>
  <Words>3534</Words>
  <Characters>19440</Characters>
  <Application>Microsoft Office Word</Application>
  <DocSecurity>0</DocSecurity>
  <Lines>162</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[NOMBRE DE LA COMPAÑÍA]</vt:lpstr>
    </vt:vector>
  </TitlesOfParts>
  <Manager/>
  <Company/>
  <LinksUpToDate>false</LinksUpToDate>
  <CharactersWithSpaces>22929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Remolina Pulido</dc:creator>
  <cp:keywords/>
  <dc:description/>
  <cp:lastModifiedBy>Juan Pablo Remolina Pulido</cp:lastModifiedBy>
  <cp:revision>7</cp:revision>
  <cp:lastPrinted>2014-12-29T20:15:00Z</cp:lastPrinted>
  <dcterms:created xsi:type="dcterms:W3CDTF">2014-12-29T19:49:00Z</dcterms:created>
  <dcterms:modified xsi:type="dcterms:W3CDTF">2014-12-29T20:20:00Z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TC010178173082</vt:lpwstr>
  </property>
  <property fmtid="{D5CDD505-2E9C-101B-9397-08002B2CF9AE}" pid="3" name="ContentTypeId">
    <vt:lpwstr>0x010100D8EF8584FAD5E54D9C6B8E283355D3F1</vt:lpwstr>
  </property>
</Properties>
</file>