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30F" w:rsidRPr="00DE630F" w:rsidRDefault="00DE630F" w:rsidP="00DE630F">
      <w:pPr>
        <w:spacing w:after="0" w:line="240" w:lineRule="auto"/>
        <w:jc w:val="center"/>
        <w:rPr>
          <w:rFonts w:ascii="Arial" w:hAnsi="Arial" w:cs="Arial"/>
          <w:b/>
          <w:sz w:val="24"/>
          <w:szCs w:val="24"/>
        </w:rPr>
      </w:pPr>
      <w:r w:rsidRPr="00DE630F">
        <w:rPr>
          <w:rFonts w:ascii="Arial" w:hAnsi="Arial" w:cs="Arial"/>
          <w:b/>
          <w:sz w:val="24"/>
          <w:szCs w:val="24"/>
        </w:rPr>
        <w:t>ÍNDICE DE TRANSPARENCIA ACTIVA - ITA</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Para dar cumplimiento al literal i) del artículo 23 de la Ley 1712 de 2014, que ordena al Ministerio Publico, en cabeza de la Procuraduría General de la Nación </w:t>
      </w:r>
      <w:r w:rsidRPr="00DE630F">
        <w:rPr>
          <w:rFonts w:ascii="Arial" w:hAnsi="Arial" w:cs="Arial"/>
          <w:i/>
          <w:sz w:val="24"/>
          <w:szCs w:val="24"/>
        </w:rPr>
        <w:t>“implementar y administrar los sistemas de información en el cumplimiento de sus funciones, para lo cual establecerá los plazos y criterios del reporte por parte de las Entidades públicas que considere necesarias”,</w:t>
      </w:r>
      <w:r w:rsidRPr="00DE630F">
        <w:rPr>
          <w:rFonts w:ascii="Arial" w:hAnsi="Arial" w:cs="Arial"/>
          <w:sz w:val="24"/>
          <w:szCs w:val="24"/>
        </w:rPr>
        <w:t xml:space="preserve"> se creó un sistema de información tipo encuesta que permitiera medir el nivel de cumplimiento de la Ley por parte de cada sujeto obligado y que generará, con la información registrada, el indicador denominado índice de Transparencia y Acceso a la Información Pública –ITA-.</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b/>
          <w:i/>
          <w:sz w:val="24"/>
          <w:szCs w:val="24"/>
          <w:u w:val="single"/>
        </w:rPr>
      </w:pPr>
      <w:r w:rsidRPr="00DE630F">
        <w:rPr>
          <w:rFonts w:ascii="Arial" w:hAnsi="Arial" w:cs="Arial"/>
          <w:b/>
          <w:i/>
          <w:sz w:val="24"/>
          <w:szCs w:val="24"/>
          <w:u w:val="single"/>
        </w:rPr>
        <w:t>Antecedentes</w:t>
      </w:r>
      <w:r w:rsidR="00630810">
        <w:rPr>
          <w:rFonts w:ascii="Arial" w:hAnsi="Arial" w:cs="Arial"/>
          <w:b/>
          <w:i/>
          <w:sz w:val="24"/>
          <w:szCs w:val="24"/>
          <w:u w:val="single"/>
        </w:rPr>
        <w:t>:</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Para el desarrollo del Sistema de Información ITA la Procuraduría General de la Nación contó con el  respaldo de la Fundación Internacional y para Iberoamérica de Administración y Políticas Públicas –</w:t>
      </w:r>
      <w:proofErr w:type="spellStart"/>
      <w:r w:rsidRPr="00DE630F">
        <w:rPr>
          <w:rFonts w:ascii="Arial" w:hAnsi="Arial" w:cs="Arial"/>
          <w:sz w:val="24"/>
          <w:szCs w:val="24"/>
        </w:rPr>
        <w:t>FIIAPP</w:t>
      </w:r>
      <w:proofErr w:type="spellEnd"/>
      <w:r w:rsidRPr="00DE630F">
        <w:rPr>
          <w:rFonts w:ascii="Arial" w:hAnsi="Arial" w:cs="Arial"/>
          <w:sz w:val="24"/>
          <w:szCs w:val="24"/>
        </w:rPr>
        <w:t xml:space="preserve"> – la cual es una fundación del sector público estatal Español, cuyo objetivo consiste en desarrollar actividades relacionadas con la creación, promoción o consolidación de las instituciones públicas en el ámbito de la Gobernabilidad Democrática, Reforma del Estado y Modernización de las Administraciones Públicas y cualquier otras en el campo de la cooperación internacional.</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En enero de 2014, la Unión Europea y la </w:t>
      </w:r>
      <w:proofErr w:type="spellStart"/>
      <w:r w:rsidRPr="00DE630F">
        <w:rPr>
          <w:rFonts w:ascii="Arial" w:hAnsi="Arial" w:cs="Arial"/>
          <w:sz w:val="24"/>
          <w:szCs w:val="24"/>
        </w:rPr>
        <w:t>FIIAPP</w:t>
      </w:r>
      <w:proofErr w:type="spellEnd"/>
      <w:r w:rsidRPr="00DE630F">
        <w:rPr>
          <w:rFonts w:ascii="Arial" w:hAnsi="Arial" w:cs="Arial"/>
          <w:sz w:val="24"/>
          <w:szCs w:val="24"/>
        </w:rPr>
        <w:t xml:space="preserve"> firmaron un Acuerdo de Delegación para la ejecución del proyecto </w:t>
      </w:r>
      <w:r w:rsidRPr="00DE630F">
        <w:rPr>
          <w:rFonts w:ascii="Arial" w:hAnsi="Arial" w:cs="Arial"/>
          <w:i/>
          <w:sz w:val="24"/>
          <w:szCs w:val="24"/>
        </w:rPr>
        <w:t>"Fortalecimiento institucional de la capacidad colombiana para aumentar la integridad y la transparencia"</w:t>
      </w:r>
      <w:r w:rsidRPr="00DE630F">
        <w:rPr>
          <w:rFonts w:ascii="Arial" w:hAnsi="Arial" w:cs="Arial"/>
          <w:sz w:val="24"/>
          <w:szCs w:val="24"/>
        </w:rPr>
        <w:t xml:space="preserve"> (DCI-ALAf20 13/330-003) con el fin de impulsar a la Administración Pública colombiana en la implementación de la Política Pública Integral Anti-corrupción (</w:t>
      </w:r>
      <w:proofErr w:type="spellStart"/>
      <w:r w:rsidRPr="00DE630F">
        <w:rPr>
          <w:rFonts w:ascii="Arial" w:hAnsi="Arial" w:cs="Arial"/>
          <w:sz w:val="24"/>
          <w:szCs w:val="24"/>
        </w:rPr>
        <w:t>PPIA</w:t>
      </w:r>
      <w:proofErr w:type="spellEnd"/>
      <w:r w:rsidRPr="00DE630F">
        <w:rPr>
          <w:rFonts w:ascii="Arial" w:hAnsi="Arial" w:cs="Arial"/>
          <w:sz w:val="24"/>
          <w:szCs w:val="24"/>
        </w:rPr>
        <w:t>), especialmente a la Secretaría de Transparencia (</w:t>
      </w:r>
      <w:proofErr w:type="spellStart"/>
      <w:r w:rsidRPr="00DE630F">
        <w:rPr>
          <w:rFonts w:ascii="Arial" w:hAnsi="Arial" w:cs="Arial"/>
          <w:sz w:val="24"/>
          <w:szCs w:val="24"/>
        </w:rPr>
        <w:t>ST</w:t>
      </w:r>
      <w:proofErr w:type="spellEnd"/>
      <w:r w:rsidRPr="00DE630F">
        <w:rPr>
          <w:rFonts w:ascii="Arial" w:hAnsi="Arial" w:cs="Arial"/>
          <w:sz w:val="24"/>
          <w:szCs w:val="24"/>
        </w:rPr>
        <w:t>) que brindará la orientación técnica necesaria para la implementación del proyecto.</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En el marco de la ejecución de este proyecto, la </w:t>
      </w:r>
      <w:proofErr w:type="spellStart"/>
      <w:r w:rsidRPr="00DE630F">
        <w:rPr>
          <w:rFonts w:ascii="Arial" w:hAnsi="Arial" w:cs="Arial"/>
          <w:sz w:val="24"/>
          <w:szCs w:val="24"/>
        </w:rPr>
        <w:t>FIIAPP</w:t>
      </w:r>
      <w:proofErr w:type="spellEnd"/>
      <w:r w:rsidRPr="00DE630F">
        <w:rPr>
          <w:rFonts w:ascii="Arial" w:hAnsi="Arial" w:cs="Arial"/>
          <w:sz w:val="24"/>
          <w:szCs w:val="24"/>
        </w:rPr>
        <w:t xml:space="preserve"> ha ofrecido un importante apoyo para la efectiva implementación de la Ley de Transparencia y del Derecho de Acceso a la Información Pública, no sól</w:t>
      </w:r>
      <w:r>
        <w:rPr>
          <w:rFonts w:ascii="Arial" w:hAnsi="Arial" w:cs="Arial"/>
          <w:sz w:val="24"/>
          <w:szCs w:val="24"/>
        </w:rPr>
        <w:t>o a las entidades del Ejecutivo</w:t>
      </w:r>
      <w:r w:rsidRPr="00DE630F">
        <w:rPr>
          <w:rFonts w:ascii="Arial" w:hAnsi="Arial" w:cs="Arial"/>
          <w:sz w:val="24"/>
          <w:szCs w:val="24"/>
        </w:rPr>
        <w:t xml:space="preserve"> sino</w:t>
      </w:r>
      <w:r>
        <w:rPr>
          <w:rFonts w:ascii="Arial" w:hAnsi="Arial" w:cs="Arial"/>
          <w:sz w:val="24"/>
          <w:szCs w:val="24"/>
        </w:rPr>
        <w:t>,</w:t>
      </w:r>
      <w:r w:rsidRPr="00DE630F">
        <w:rPr>
          <w:rFonts w:ascii="Arial" w:hAnsi="Arial" w:cs="Arial"/>
          <w:sz w:val="24"/>
          <w:szCs w:val="24"/>
        </w:rPr>
        <w:t xml:space="preserve"> así mismo</w:t>
      </w:r>
      <w:r>
        <w:rPr>
          <w:rFonts w:ascii="Arial" w:hAnsi="Arial" w:cs="Arial"/>
          <w:sz w:val="24"/>
          <w:szCs w:val="24"/>
        </w:rPr>
        <w:t>,</w:t>
      </w:r>
      <w:r w:rsidRPr="00DE630F">
        <w:rPr>
          <w:rFonts w:ascii="Arial" w:hAnsi="Arial" w:cs="Arial"/>
          <w:sz w:val="24"/>
          <w:szCs w:val="24"/>
        </w:rPr>
        <w:t xml:space="preserve"> a la Procuraduría General de la Nación como órgano garante del cumplimiento de la Ley.</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lastRenderedPageBreak/>
        <w:t xml:space="preserve">Es así que el 25 de Noviembre de 2016, la </w:t>
      </w:r>
      <w:proofErr w:type="spellStart"/>
      <w:r w:rsidRPr="00DE630F">
        <w:rPr>
          <w:rFonts w:ascii="Arial" w:hAnsi="Arial" w:cs="Arial"/>
          <w:sz w:val="24"/>
          <w:szCs w:val="24"/>
        </w:rPr>
        <w:t>FIIAPP</w:t>
      </w:r>
      <w:proofErr w:type="spellEnd"/>
      <w:r w:rsidRPr="00DE630F">
        <w:rPr>
          <w:rFonts w:ascii="Arial" w:hAnsi="Arial" w:cs="Arial"/>
          <w:sz w:val="24"/>
          <w:szCs w:val="24"/>
        </w:rPr>
        <w:t xml:space="preserve"> suscribió contrato de arrendamiento de servicios con </w:t>
      </w:r>
      <w:proofErr w:type="spellStart"/>
      <w:r w:rsidRPr="00DE630F">
        <w:rPr>
          <w:rFonts w:ascii="Arial" w:hAnsi="Arial" w:cs="Arial"/>
          <w:sz w:val="24"/>
          <w:szCs w:val="24"/>
        </w:rPr>
        <w:t>Ecoanaíltica</w:t>
      </w:r>
      <w:proofErr w:type="spellEnd"/>
      <w:r w:rsidRPr="00DE630F">
        <w:rPr>
          <w:rFonts w:ascii="Arial" w:hAnsi="Arial" w:cs="Arial"/>
          <w:sz w:val="24"/>
          <w:szCs w:val="24"/>
        </w:rPr>
        <w:t xml:space="preserve"> cuyo objeto consistió en la </w:t>
      </w:r>
      <w:r w:rsidRPr="00DE630F">
        <w:rPr>
          <w:rFonts w:ascii="Arial" w:hAnsi="Arial" w:cs="Arial"/>
          <w:i/>
          <w:sz w:val="24"/>
          <w:szCs w:val="24"/>
        </w:rPr>
        <w:t>“Consultoría para desarrollar un sistema de información hecho a la medida que permita el registro, seguimiento, monitoreo y generación del índice de cumplimiento –ITA de los sujetos obligados no tradicionales”,</w:t>
      </w:r>
      <w:r w:rsidRPr="00DE630F">
        <w:rPr>
          <w:rFonts w:ascii="Arial" w:hAnsi="Arial" w:cs="Arial"/>
          <w:sz w:val="24"/>
          <w:szCs w:val="24"/>
        </w:rPr>
        <w:t xml:space="preserve"> con un plazo inicial de cinco meses y una prórroga de tres meses.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b/>
          <w:i/>
          <w:sz w:val="24"/>
          <w:szCs w:val="24"/>
          <w:u w:val="single"/>
        </w:rPr>
      </w:pPr>
      <w:r w:rsidRPr="00DE630F">
        <w:rPr>
          <w:rFonts w:ascii="Arial" w:hAnsi="Arial" w:cs="Arial"/>
          <w:b/>
          <w:i/>
          <w:sz w:val="24"/>
          <w:szCs w:val="24"/>
          <w:u w:val="single"/>
        </w:rPr>
        <w:t>Líneas bases para la construcción del ITA:</w:t>
      </w:r>
    </w:p>
    <w:p w:rsid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Pr>
          <w:rFonts w:ascii="Arial" w:hAnsi="Arial" w:cs="Arial"/>
          <w:sz w:val="24"/>
          <w:szCs w:val="24"/>
        </w:rPr>
        <w:t xml:space="preserve">El Sistema de Información </w:t>
      </w:r>
      <w:r w:rsidR="007035CD">
        <w:rPr>
          <w:rFonts w:ascii="Arial" w:hAnsi="Arial" w:cs="Arial"/>
          <w:sz w:val="24"/>
          <w:szCs w:val="24"/>
        </w:rPr>
        <w:t>s</w:t>
      </w:r>
      <w:r>
        <w:rPr>
          <w:rFonts w:ascii="Arial" w:hAnsi="Arial" w:cs="Arial"/>
          <w:sz w:val="24"/>
          <w:szCs w:val="24"/>
        </w:rPr>
        <w:t>e sustentó</w:t>
      </w:r>
      <w:r w:rsidRPr="00DE630F">
        <w:rPr>
          <w:rFonts w:ascii="Arial" w:hAnsi="Arial" w:cs="Arial"/>
          <w:sz w:val="24"/>
          <w:szCs w:val="24"/>
        </w:rPr>
        <w:t xml:space="preserve"> en tres pilares: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630810">
        <w:rPr>
          <w:rFonts w:ascii="Arial" w:hAnsi="Arial" w:cs="Arial"/>
          <w:sz w:val="24"/>
          <w:szCs w:val="24"/>
        </w:rPr>
        <w:tab/>
        <w:t xml:space="preserve">Modelo de Monitoreo de Sujetos Obligados </w:t>
      </w:r>
      <w:r w:rsidRPr="00B13439">
        <w:rPr>
          <w:rFonts w:ascii="Arial" w:hAnsi="Arial" w:cs="Arial"/>
          <w:i/>
          <w:sz w:val="24"/>
          <w:szCs w:val="24"/>
        </w:rPr>
        <w:t>“No Tradicionales”</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En 2015 el Grupo de Transparencia y del Derecho de Acceso a la Información Pública de la Procuraduría General de la Nación, con el apoyo de </w:t>
      </w:r>
      <w:proofErr w:type="spellStart"/>
      <w:r w:rsidRPr="00DE630F">
        <w:rPr>
          <w:rFonts w:ascii="Arial" w:hAnsi="Arial" w:cs="Arial"/>
          <w:sz w:val="24"/>
          <w:szCs w:val="24"/>
        </w:rPr>
        <w:t>EUROSOCIAL</w:t>
      </w:r>
      <w:proofErr w:type="spellEnd"/>
      <w:r w:rsidRPr="00DE630F">
        <w:rPr>
          <w:rFonts w:ascii="Arial" w:hAnsi="Arial" w:cs="Arial"/>
          <w:sz w:val="24"/>
          <w:szCs w:val="24"/>
        </w:rPr>
        <w:t xml:space="preserve"> II, diseñó el modelo de Monitoreo de Sujetos Obligados </w:t>
      </w:r>
      <w:r w:rsidRPr="00630810">
        <w:rPr>
          <w:rFonts w:ascii="Arial" w:hAnsi="Arial" w:cs="Arial"/>
          <w:i/>
          <w:sz w:val="24"/>
          <w:szCs w:val="24"/>
        </w:rPr>
        <w:t>“No Tradicionales”</w:t>
      </w:r>
      <w:r w:rsidRPr="00DE630F">
        <w:rPr>
          <w:rFonts w:ascii="Arial" w:hAnsi="Arial" w:cs="Arial"/>
          <w:sz w:val="24"/>
          <w:szCs w:val="24"/>
        </w:rPr>
        <w:t xml:space="preserve"> dirigido a realizar el seguimiento y evaluación del cumplimiento del principio de transparencia y del respeto al derecho de acceso a la información pública, por parte de quienes desempeñan o prestan función pública, ejercen autoridad pública o administran instituciones parafiscales, fondos o recursos de naturaleza u origen público.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Durante la implementación de este modelo de vigilancia a sujetos obligados </w:t>
      </w:r>
      <w:r w:rsidRPr="00630810">
        <w:rPr>
          <w:rFonts w:ascii="Arial" w:hAnsi="Arial" w:cs="Arial"/>
          <w:i/>
          <w:sz w:val="24"/>
          <w:szCs w:val="24"/>
        </w:rPr>
        <w:t>"no tradicionales"</w:t>
      </w:r>
      <w:r w:rsidRPr="00DE630F">
        <w:rPr>
          <w:rFonts w:ascii="Arial" w:hAnsi="Arial" w:cs="Arial"/>
          <w:sz w:val="24"/>
          <w:szCs w:val="24"/>
        </w:rPr>
        <w:t xml:space="preserve"> se observó que no había información disponible en los sistemas e índices de la Procuraduría, que midieran el cumplimiento normativo de organizaciones privadas en relación con la transparencia y el acceso a la información pública. </w:t>
      </w:r>
    </w:p>
    <w:p w:rsidR="00DE630F" w:rsidRPr="00630810"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sz w:val="24"/>
          <w:szCs w:val="24"/>
        </w:rPr>
      </w:pPr>
      <w:r w:rsidRPr="00630810">
        <w:rPr>
          <w:rFonts w:ascii="Arial" w:hAnsi="Arial" w:cs="Arial"/>
          <w:sz w:val="24"/>
          <w:szCs w:val="24"/>
        </w:rPr>
        <w:t>•</w:t>
      </w:r>
      <w:r w:rsidRPr="00630810">
        <w:rPr>
          <w:rFonts w:ascii="Arial" w:hAnsi="Arial" w:cs="Arial"/>
          <w:sz w:val="24"/>
          <w:szCs w:val="24"/>
        </w:rPr>
        <w:tab/>
        <w:t>Sujetos Obligados</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El artículo 5° de la citada ley amplió el espectro de los sujetos obligados a ser vigilados por la Procuraduría General de la Nación, en temas de transparencia y acceso a la información pública, a los sujetos denominados </w:t>
      </w:r>
      <w:r w:rsidRPr="00630810">
        <w:rPr>
          <w:rFonts w:ascii="Arial" w:hAnsi="Arial" w:cs="Arial"/>
          <w:i/>
          <w:sz w:val="24"/>
          <w:szCs w:val="24"/>
        </w:rPr>
        <w:t>“no tradicionales”</w:t>
      </w:r>
      <w:r w:rsidRPr="00DE630F">
        <w:rPr>
          <w:rFonts w:ascii="Arial" w:hAnsi="Arial" w:cs="Arial"/>
          <w:sz w:val="24"/>
          <w:szCs w:val="24"/>
        </w:rPr>
        <w:t>, definiéndolos como:</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630810">
      <w:pPr>
        <w:spacing w:after="0" w:line="240" w:lineRule="auto"/>
        <w:ind w:left="567" w:right="900"/>
        <w:jc w:val="both"/>
        <w:rPr>
          <w:rFonts w:ascii="Arial" w:hAnsi="Arial" w:cs="Arial"/>
          <w:i/>
          <w:sz w:val="24"/>
          <w:szCs w:val="24"/>
        </w:rPr>
      </w:pPr>
      <w:r w:rsidRPr="00630810">
        <w:rPr>
          <w:rFonts w:ascii="Arial" w:hAnsi="Arial" w:cs="Arial"/>
          <w:i/>
          <w:sz w:val="24"/>
          <w:szCs w:val="24"/>
        </w:rPr>
        <w:t>1.</w:t>
      </w:r>
      <w:r w:rsidRPr="00630810">
        <w:rPr>
          <w:rFonts w:ascii="Arial" w:hAnsi="Arial" w:cs="Arial"/>
          <w:i/>
          <w:sz w:val="24"/>
          <w:szCs w:val="24"/>
        </w:rPr>
        <w:tab/>
        <w:t xml:space="preserve">Las personas naturales y jurídicas, públicas o privadas, que presten función pública, que presten servicios públicos respecto de la </w:t>
      </w:r>
      <w:r w:rsidRPr="00630810">
        <w:rPr>
          <w:rFonts w:ascii="Arial" w:hAnsi="Arial" w:cs="Arial"/>
          <w:i/>
          <w:sz w:val="24"/>
          <w:szCs w:val="24"/>
        </w:rPr>
        <w:lastRenderedPageBreak/>
        <w:t>información directamente relacionada con el desempeño de su función.</w:t>
      </w:r>
    </w:p>
    <w:p w:rsidR="00DE630F" w:rsidRPr="00630810" w:rsidRDefault="00DE630F" w:rsidP="00630810">
      <w:pPr>
        <w:spacing w:after="0" w:line="240" w:lineRule="auto"/>
        <w:ind w:left="567" w:right="900"/>
        <w:jc w:val="both"/>
        <w:rPr>
          <w:rFonts w:ascii="Arial" w:hAnsi="Arial" w:cs="Arial"/>
          <w:i/>
          <w:sz w:val="24"/>
          <w:szCs w:val="24"/>
        </w:rPr>
      </w:pPr>
      <w:r w:rsidRPr="00630810">
        <w:rPr>
          <w:rFonts w:ascii="Arial" w:hAnsi="Arial" w:cs="Arial"/>
          <w:i/>
          <w:sz w:val="24"/>
          <w:szCs w:val="24"/>
        </w:rPr>
        <w:t>2.</w:t>
      </w:r>
      <w:r w:rsidRPr="00630810">
        <w:rPr>
          <w:rFonts w:ascii="Arial" w:hAnsi="Arial" w:cs="Arial"/>
          <w:i/>
          <w:sz w:val="24"/>
          <w:szCs w:val="24"/>
        </w:rPr>
        <w:tab/>
        <w:t xml:space="preserve">Cualquier persona natural, jurídica o dependencia de persona jurídica que desempeñe función pública o de autoridad pública, respecto de la información directamente relacionada con el desempeño de su función; </w:t>
      </w:r>
    </w:p>
    <w:p w:rsidR="00DE630F" w:rsidRPr="00630810" w:rsidRDefault="00DE630F" w:rsidP="00630810">
      <w:pPr>
        <w:spacing w:after="0" w:line="240" w:lineRule="auto"/>
        <w:ind w:left="567" w:right="900"/>
        <w:jc w:val="both"/>
        <w:rPr>
          <w:rFonts w:ascii="Arial" w:hAnsi="Arial" w:cs="Arial"/>
          <w:i/>
          <w:sz w:val="24"/>
          <w:szCs w:val="24"/>
        </w:rPr>
      </w:pPr>
      <w:r w:rsidRPr="00630810">
        <w:rPr>
          <w:rFonts w:ascii="Arial" w:hAnsi="Arial" w:cs="Arial"/>
          <w:i/>
          <w:sz w:val="24"/>
          <w:szCs w:val="24"/>
        </w:rPr>
        <w:t>3.</w:t>
      </w:r>
      <w:r w:rsidRPr="00630810">
        <w:rPr>
          <w:rFonts w:ascii="Arial" w:hAnsi="Arial" w:cs="Arial"/>
          <w:i/>
          <w:sz w:val="24"/>
          <w:szCs w:val="24"/>
        </w:rPr>
        <w:tab/>
        <w:t xml:space="preserve">Los partidos o movimientos políticos y los grupos significativos de ciudadanos; </w:t>
      </w:r>
    </w:p>
    <w:p w:rsidR="00DE630F" w:rsidRPr="00630810" w:rsidRDefault="00DE630F" w:rsidP="00630810">
      <w:pPr>
        <w:spacing w:after="0" w:line="240" w:lineRule="auto"/>
        <w:ind w:left="567" w:right="900"/>
        <w:jc w:val="both"/>
        <w:rPr>
          <w:rFonts w:ascii="Arial" w:hAnsi="Arial" w:cs="Arial"/>
          <w:i/>
          <w:sz w:val="24"/>
          <w:szCs w:val="24"/>
        </w:rPr>
      </w:pPr>
      <w:r w:rsidRPr="00630810">
        <w:rPr>
          <w:rFonts w:ascii="Arial" w:hAnsi="Arial" w:cs="Arial"/>
          <w:i/>
          <w:sz w:val="24"/>
          <w:szCs w:val="24"/>
        </w:rPr>
        <w:t>4.</w:t>
      </w:r>
      <w:r w:rsidRPr="00630810">
        <w:rPr>
          <w:rFonts w:ascii="Arial" w:hAnsi="Arial" w:cs="Arial"/>
          <w:i/>
          <w:sz w:val="24"/>
          <w:szCs w:val="24"/>
        </w:rPr>
        <w:tab/>
        <w:t xml:space="preserve">Las entidades que administren instituciones parafiscales, fondos o recursos de naturaleza u origen público. </w:t>
      </w:r>
    </w:p>
    <w:p w:rsidR="00DE630F" w:rsidRPr="00630810" w:rsidRDefault="00DE630F" w:rsidP="00630810">
      <w:pPr>
        <w:spacing w:after="0" w:line="240" w:lineRule="auto"/>
        <w:ind w:left="567" w:right="900"/>
        <w:jc w:val="both"/>
        <w:rPr>
          <w:rFonts w:ascii="Arial" w:hAnsi="Arial" w:cs="Arial"/>
          <w:i/>
          <w:sz w:val="24"/>
          <w:szCs w:val="24"/>
        </w:rPr>
      </w:pPr>
    </w:p>
    <w:p w:rsidR="00DE630F" w:rsidRPr="00630810" w:rsidRDefault="00DE630F" w:rsidP="00630810">
      <w:pPr>
        <w:spacing w:after="0" w:line="240" w:lineRule="auto"/>
        <w:ind w:left="567" w:right="900"/>
        <w:jc w:val="both"/>
        <w:rPr>
          <w:rFonts w:ascii="Arial" w:hAnsi="Arial" w:cs="Arial"/>
          <w:i/>
          <w:sz w:val="24"/>
          <w:szCs w:val="24"/>
        </w:rPr>
      </w:pPr>
      <w:r w:rsidRPr="00630810">
        <w:rPr>
          <w:rFonts w:ascii="Arial" w:hAnsi="Arial" w:cs="Arial"/>
          <w:i/>
          <w:sz w:val="24"/>
          <w:szCs w:val="24"/>
        </w:rPr>
        <w:t xml:space="preserve">Las personas naturales o jurídicas que reciban o intermedien fondos o beneficios públicos territoriales y nacionales y no cumplan ninguno de los otros requisitos para ser considerados sujetos obligados, solo deberán cumplir con la presente ley respecto de aquella información que se produzca en relación con fondos públicos que reciban o intermedien.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La secretaría de Transparencia de la Presidencia de la República, facilitó a la Procuraduría General de la Nación un Directorio de 68.788 sujetos obligados de la Ley 1712 de 2014, de los cuales el 55.60% (38.243) corresponden a esos sujetos obligados </w:t>
      </w:r>
      <w:r w:rsidRPr="00630810">
        <w:rPr>
          <w:rFonts w:ascii="Arial" w:hAnsi="Arial" w:cs="Arial"/>
          <w:i/>
          <w:sz w:val="24"/>
          <w:szCs w:val="24"/>
        </w:rPr>
        <w:t>“no tradicionales”</w:t>
      </w:r>
      <w:r w:rsidRPr="00DE630F">
        <w:rPr>
          <w:rFonts w:ascii="Arial" w:hAnsi="Arial" w:cs="Arial"/>
          <w:sz w:val="24"/>
          <w:szCs w:val="24"/>
        </w:rPr>
        <w:t xml:space="preserve"> de carácter privado y el 44.40% (30.545) restante a sujetos de naturaleza pública.</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sz w:val="24"/>
          <w:szCs w:val="24"/>
        </w:rPr>
      </w:pPr>
      <w:r w:rsidRPr="00630810">
        <w:rPr>
          <w:rFonts w:ascii="Arial" w:hAnsi="Arial" w:cs="Arial"/>
          <w:sz w:val="24"/>
          <w:szCs w:val="24"/>
        </w:rPr>
        <w:t>•</w:t>
      </w:r>
      <w:r w:rsidRPr="00630810">
        <w:rPr>
          <w:rFonts w:ascii="Arial" w:hAnsi="Arial" w:cs="Arial"/>
          <w:sz w:val="24"/>
          <w:szCs w:val="24"/>
        </w:rPr>
        <w:tab/>
        <w:t>Matriz de Cumplimiento Normativo</w:t>
      </w:r>
    </w:p>
    <w:p w:rsidR="00DE630F" w:rsidRPr="00DE630F" w:rsidRDefault="00DE630F" w:rsidP="00DE630F">
      <w:pPr>
        <w:spacing w:after="0" w:line="240" w:lineRule="auto"/>
        <w:jc w:val="both"/>
        <w:rPr>
          <w:rFonts w:ascii="Arial" w:hAnsi="Arial" w:cs="Arial"/>
          <w:sz w:val="24"/>
          <w:szCs w:val="24"/>
        </w:rPr>
      </w:pPr>
    </w:p>
    <w:p w:rsid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Instrumento diseñado por el Grupo de Transparencia de la Procuraduría General de la Nación que permite realizar el seguimiento al cumplimiento de la Ley 1712 de 2014, el cual está estructurado de acuerdo con el Decreto 103 de 2015 y con la  Resolución </w:t>
      </w:r>
      <w:proofErr w:type="spellStart"/>
      <w:r w:rsidRPr="00DE630F">
        <w:rPr>
          <w:rFonts w:ascii="Arial" w:hAnsi="Arial" w:cs="Arial"/>
          <w:sz w:val="24"/>
          <w:szCs w:val="24"/>
        </w:rPr>
        <w:t>MINTIC</w:t>
      </w:r>
      <w:proofErr w:type="spellEnd"/>
      <w:r w:rsidRPr="00DE630F">
        <w:rPr>
          <w:rFonts w:ascii="Arial" w:hAnsi="Arial" w:cs="Arial"/>
          <w:sz w:val="24"/>
          <w:szCs w:val="24"/>
        </w:rPr>
        <w:t xml:space="preserve"> 3564 de 2015. Esta Matriz está compuesta por 10 categorías, 55 subcategorías y 159 ítems de la siguiente manera:</w:t>
      </w:r>
    </w:p>
    <w:p w:rsidR="00630810" w:rsidRDefault="00630810" w:rsidP="00DE630F">
      <w:pPr>
        <w:spacing w:after="0" w:line="240" w:lineRule="auto"/>
        <w:jc w:val="both"/>
        <w:rPr>
          <w:rFonts w:ascii="Arial" w:hAnsi="Arial" w:cs="Arial"/>
          <w:sz w:val="24"/>
          <w:szCs w:val="24"/>
        </w:rPr>
      </w:pPr>
    </w:p>
    <w:p w:rsidR="00630810" w:rsidRDefault="00630810" w:rsidP="00DE630F">
      <w:pPr>
        <w:spacing w:after="0" w:line="240" w:lineRule="auto"/>
        <w:jc w:val="both"/>
        <w:rPr>
          <w:rFonts w:ascii="Arial" w:hAnsi="Arial" w:cs="Arial"/>
          <w:sz w:val="24"/>
          <w:szCs w:val="24"/>
        </w:rPr>
      </w:pPr>
    </w:p>
    <w:p w:rsidR="00630810" w:rsidRDefault="00630810" w:rsidP="00DE630F">
      <w:pPr>
        <w:spacing w:after="0" w:line="240" w:lineRule="auto"/>
        <w:jc w:val="both"/>
        <w:rPr>
          <w:rFonts w:ascii="Arial" w:hAnsi="Arial" w:cs="Arial"/>
          <w:sz w:val="24"/>
          <w:szCs w:val="24"/>
        </w:rPr>
      </w:pPr>
    </w:p>
    <w:p w:rsidR="00630810" w:rsidRDefault="00630810" w:rsidP="00DE630F">
      <w:pPr>
        <w:spacing w:after="0" w:line="240" w:lineRule="auto"/>
        <w:jc w:val="both"/>
        <w:rPr>
          <w:rFonts w:ascii="Arial" w:hAnsi="Arial" w:cs="Arial"/>
          <w:sz w:val="24"/>
          <w:szCs w:val="24"/>
        </w:rPr>
      </w:pPr>
    </w:p>
    <w:p w:rsidR="00630810" w:rsidRDefault="00630810" w:rsidP="00DE630F">
      <w:pPr>
        <w:spacing w:after="0" w:line="240" w:lineRule="auto"/>
        <w:jc w:val="both"/>
        <w:rPr>
          <w:rFonts w:ascii="Arial" w:hAnsi="Arial" w:cs="Arial"/>
          <w:sz w:val="24"/>
          <w:szCs w:val="24"/>
        </w:rPr>
      </w:pPr>
    </w:p>
    <w:p w:rsidR="00630810" w:rsidRPr="00630810" w:rsidRDefault="00630810" w:rsidP="00630810">
      <w:pPr>
        <w:jc w:val="center"/>
        <w:rPr>
          <w:rFonts w:ascii="Arial" w:hAnsi="Arial" w:cs="Arial"/>
          <w:b/>
          <w:sz w:val="20"/>
          <w:szCs w:val="20"/>
        </w:rPr>
      </w:pPr>
      <w:r>
        <w:rPr>
          <w:rFonts w:ascii="Arial" w:hAnsi="Arial" w:cs="Arial"/>
          <w:b/>
          <w:sz w:val="20"/>
          <w:szCs w:val="20"/>
        </w:rPr>
        <w:lastRenderedPageBreak/>
        <w:t>Tabla N°</w:t>
      </w:r>
      <w:r w:rsidRPr="00630810">
        <w:rPr>
          <w:rFonts w:ascii="Arial" w:hAnsi="Arial" w:cs="Arial"/>
          <w:b/>
          <w:sz w:val="20"/>
          <w:szCs w:val="20"/>
        </w:rPr>
        <w:t xml:space="preserve"> </w:t>
      </w:r>
      <w:r>
        <w:rPr>
          <w:rFonts w:ascii="Arial" w:hAnsi="Arial" w:cs="Arial"/>
          <w:b/>
          <w:sz w:val="20"/>
          <w:szCs w:val="20"/>
        </w:rPr>
        <w:t>1.</w:t>
      </w:r>
      <w:r w:rsidRPr="00630810">
        <w:rPr>
          <w:rFonts w:ascii="Arial" w:hAnsi="Arial" w:cs="Arial"/>
          <w:b/>
          <w:sz w:val="20"/>
          <w:szCs w:val="20"/>
        </w:rPr>
        <w:t xml:space="preserve"> </w:t>
      </w:r>
      <w:r>
        <w:rPr>
          <w:rFonts w:ascii="Arial" w:hAnsi="Arial" w:cs="Arial"/>
          <w:b/>
          <w:sz w:val="20"/>
          <w:szCs w:val="20"/>
        </w:rPr>
        <w:t>Estructura Matriz de Cumplimiento Normativo</w:t>
      </w:r>
    </w:p>
    <w:tbl>
      <w:tblPr>
        <w:tblStyle w:val="Listaclara-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882"/>
        <w:gridCol w:w="1099"/>
      </w:tblGrid>
      <w:tr w:rsidR="00630810" w:rsidRPr="00394B0F" w:rsidTr="00953D66">
        <w:trPr>
          <w:cnfStyle w:val="100000000000" w:firstRow="1" w:lastRow="0" w:firstColumn="0" w:lastColumn="0" w:oddVBand="0" w:evenVBand="0" w:oddHBand="0" w:evenHBand="0" w:firstRowFirstColumn="0" w:firstRowLastColumn="0" w:lastRowFirstColumn="0" w:lastRowLastColumn="0"/>
          <w:trHeight w:val="280"/>
          <w:tblHeader/>
          <w:jc w:val="center"/>
        </w:trPr>
        <w:tc>
          <w:tcPr>
            <w:cnfStyle w:val="001000000000" w:firstRow="0" w:lastRow="0" w:firstColumn="1" w:lastColumn="0" w:oddVBand="0" w:evenVBand="0" w:oddHBand="0" w:evenHBand="0" w:firstRowFirstColumn="0" w:firstRowLastColumn="0" w:lastRowFirstColumn="0" w:lastRowLastColumn="0"/>
            <w:tcW w:w="1242" w:type="dxa"/>
            <w:hideMark/>
          </w:tcPr>
          <w:p w:rsidR="00630810" w:rsidRPr="00394B0F" w:rsidRDefault="00630810" w:rsidP="00953D66">
            <w:pPr>
              <w:jc w:val="center"/>
              <w:rPr>
                <w:rFonts w:ascii="Calibri" w:eastAsia="Times New Roman" w:hAnsi="Calibri" w:cs="Times New Roman"/>
                <w:sz w:val="18"/>
              </w:rPr>
            </w:pPr>
            <w:r w:rsidRPr="00394B0F">
              <w:rPr>
                <w:rFonts w:ascii="Calibri" w:eastAsia="Times New Roman" w:hAnsi="Calibri" w:cs="Times New Roman"/>
                <w:sz w:val="18"/>
              </w:rPr>
              <w:t>Categoría</w:t>
            </w:r>
          </w:p>
        </w:tc>
        <w:tc>
          <w:tcPr>
            <w:tcW w:w="4882" w:type="dxa"/>
            <w:noWrap/>
            <w:hideMark/>
          </w:tcPr>
          <w:p w:rsidR="00630810" w:rsidRPr="00394B0F" w:rsidRDefault="00630810" w:rsidP="00953D6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394B0F">
              <w:rPr>
                <w:rFonts w:ascii="Calibri" w:eastAsia="Times New Roman" w:hAnsi="Calibri" w:cs="Times New Roman"/>
                <w:sz w:val="18"/>
              </w:rPr>
              <w:t>Sub Categoría</w:t>
            </w:r>
          </w:p>
        </w:tc>
        <w:tc>
          <w:tcPr>
            <w:tcW w:w="1099" w:type="dxa"/>
            <w:noWrap/>
            <w:hideMark/>
          </w:tcPr>
          <w:p w:rsidR="00630810" w:rsidRPr="00394B0F" w:rsidRDefault="00630810" w:rsidP="00953D6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394B0F">
              <w:rPr>
                <w:rFonts w:ascii="Calibri" w:eastAsia="Times New Roman" w:hAnsi="Calibri" w:cs="Times New Roman"/>
                <w:sz w:val="18"/>
              </w:rPr>
              <w:t xml:space="preserve"># </w:t>
            </w:r>
            <w:proofErr w:type="spellStart"/>
            <w:r w:rsidRPr="00394B0F">
              <w:rPr>
                <w:rFonts w:ascii="Calibri" w:eastAsia="Times New Roman" w:hAnsi="Calibri" w:cs="Times New Roman"/>
                <w:sz w:val="18"/>
              </w:rPr>
              <w:t>Preg</w:t>
            </w:r>
            <w:proofErr w:type="spellEnd"/>
            <w:r>
              <w:rPr>
                <w:rFonts w:ascii="Calibri" w:eastAsia="Times New Roman" w:hAnsi="Calibri" w:cs="Times New Roman"/>
                <w:sz w:val="18"/>
              </w:rPr>
              <w:t>.</w:t>
            </w:r>
            <w:r w:rsidRPr="00394B0F">
              <w:rPr>
                <w:rFonts w:ascii="Calibri" w:eastAsia="Times New Roman" w:hAnsi="Calibri" w:cs="Times New Roman"/>
                <w:sz w:val="18"/>
              </w:rPr>
              <w:t xml:space="preserve"> Sub Categoría</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Contratación</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Plan Anual de Adquisiciones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2</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Publicación de la ejecución de contratos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Publicación de la información contractual</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Publicación de procedimientos, lineamientos y políticas en materia de adquisición y compras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Control</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Defensa judicial</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5</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Entes de control que vigilan a la entidad y mecanismos de supervisión</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3</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Información para población vulnerable</w:t>
            </w:r>
          </w:p>
        </w:tc>
        <w:tc>
          <w:tcPr>
            <w:tcW w:w="1099" w:type="dxa"/>
            <w:tcBorders>
              <w:top w:val="none" w:sz="0" w:space="0" w:color="auto"/>
              <w:bottom w:val="none" w:sz="0" w:space="0" w:color="auto"/>
              <w:right w:val="none" w:sz="0" w:space="0" w:color="auto"/>
            </w:tcBorders>
            <w:noWrap/>
          </w:tcPr>
          <w:p w:rsidR="00630810"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Informes de gestión, evaluación y auditoría</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5</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Planes de Mejoramiento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2</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Reportes de control interno</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Estructura orgánica y talento humano</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Directorio de agremiaciones, asociaciones y otros grupos de interés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Directorio de entidades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Directorio de información de servidores públicos y contratistas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12</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Pr>
          <w:p w:rsidR="00630810" w:rsidRPr="00DE4858" w:rsidRDefault="00630810" w:rsidP="00953D66">
            <w:pPr>
              <w:jc w:val="both"/>
              <w:rPr>
                <w:rFonts w:ascii="Calibri" w:eastAsia="Times New Roman" w:hAnsi="Calibri" w:cs="Times New Roman"/>
                <w:b w:val="0"/>
                <w:sz w:val="18"/>
              </w:rPr>
            </w:pPr>
          </w:p>
        </w:tc>
        <w:tc>
          <w:tcPr>
            <w:tcW w:w="4882" w:type="dxa"/>
            <w:noWrap/>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Misión y Visión</w:t>
            </w:r>
          </w:p>
        </w:tc>
        <w:tc>
          <w:tcPr>
            <w:tcW w:w="1099" w:type="dxa"/>
            <w:noWrap/>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Funciones y deberes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Ofertas de empleo</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Organigrama</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3</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Procesos y procedimientos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Información de interés</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Calendario de actividades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Convocatorias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Datos abiertos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2</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Estudios, investigaciones y otras publicaciones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Glosario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Información adicional</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Información para niñas,  niños y adolecentes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Noticias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Preguntas y respuestas frecuentes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 xml:space="preserve">Instrumentos de gestión de </w:t>
            </w:r>
            <w:r w:rsidRPr="00DE4858">
              <w:rPr>
                <w:rFonts w:ascii="Calibri" w:eastAsia="Times New Roman" w:hAnsi="Calibri" w:cs="Times New Roman"/>
                <w:b w:val="0"/>
                <w:sz w:val="18"/>
              </w:rPr>
              <w:lastRenderedPageBreak/>
              <w:t>información pública</w:t>
            </w: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lastRenderedPageBreak/>
              <w:t>Costos de reproducción</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2</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Esquema de Publicación de Información</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9</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Índice de Información Clasificada y Reservada</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15</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Información mínima</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 xml:space="preserve">Informe de </w:t>
            </w:r>
            <w:proofErr w:type="spellStart"/>
            <w:r w:rsidRPr="00DE4858">
              <w:rPr>
                <w:rFonts w:ascii="Calibri" w:eastAsia="Times New Roman" w:hAnsi="Calibri" w:cs="Times New Roman"/>
                <w:sz w:val="18"/>
              </w:rPr>
              <w:t>PQRS</w:t>
            </w:r>
            <w:proofErr w:type="spellEnd"/>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6</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Mecanismos para presentar quejas y reclamos en relación con omisiones o acciones del sujeto obligado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Programa de Gestión Documental</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Registro de Activos de Información</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9</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Registro de publicaciones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2</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Tablas de Retención Documental</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Mecanismos de contacto con el sujeto obligado</w:t>
            </w: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Correo electrónico para notificaciones judiciales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4</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Localización física, sucursales o regionales, horarios y días de atención al público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4</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Mecanismos para la atención al ciudadano</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5</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Políticas de seguridad de la información del sitio web y protección de datos personales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Sección particular</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Normatividad</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Normatividad del orden nacional</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8</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Normatividad del orden territorial</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3</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Otros sujetos obligados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Planeación</w:t>
            </w: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Informes de empalme</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Metas, objetivos e indicadores de gestión y/o desempeño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Participación en la formulación de políticas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4</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Plan de gasto público</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7</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Políticas, lineamientos y manuales</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8</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Programas y proyectos en ejecución</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Presupuesto</w:t>
            </w: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Ejecución presupuestal histórica anual</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3</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Estados financieros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trHeight w:val="280"/>
          <w:jc w:val="center"/>
        </w:trPr>
        <w:tc>
          <w:tcPr>
            <w:cnfStyle w:val="001000000000" w:firstRow="0" w:lastRow="0" w:firstColumn="1" w:lastColumn="0" w:oddVBand="0" w:evenVBand="0" w:oddHBand="0" w:evenHBand="0" w:firstRowFirstColumn="0" w:firstRowLastColumn="0" w:lastRowFirstColumn="0" w:lastRowLastColumn="0"/>
            <w:tcW w:w="1242" w:type="dxa"/>
            <w:vMerge/>
            <w:hideMark/>
          </w:tcPr>
          <w:p w:rsidR="00630810" w:rsidRPr="00DE4858" w:rsidRDefault="00630810" w:rsidP="00953D66">
            <w:pPr>
              <w:jc w:val="both"/>
              <w:rPr>
                <w:rFonts w:ascii="Calibri" w:eastAsia="Times New Roman" w:hAnsi="Calibri" w:cs="Times New Roman"/>
                <w:b w:val="0"/>
                <w:sz w:val="18"/>
              </w:rPr>
            </w:pPr>
          </w:p>
        </w:tc>
        <w:tc>
          <w:tcPr>
            <w:tcW w:w="4882" w:type="dxa"/>
            <w:noWrap/>
            <w:hideMark/>
          </w:tcPr>
          <w:p w:rsidR="00630810" w:rsidRPr="00DE4858" w:rsidRDefault="00630810" w:rsidP="00953D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Presupuesto general asignado</w:t>
            </w:r>
          </w:p>
        </w:tc>
        <w:tc>
          <w:tcPr>
            <w:tcW w:w="1099" w:type="dxa"/>
            <w:noWrap/>
            <w:hideMark/>
          </w:tcPr>
          <w:p w:rsidR="00630810" w:rsidRPr="00DE4858" w:rsidRDefault="00630810" w:rsidP="00953D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1</w:t>
            </w:r>
          </w:p>
        </w:tc>
      </w:tr>
      <w:tr w:rsidR="00630810" w:rsidRPr="00DE4858" w:rsidTr="00953D66">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hideMark/>
          </w:tcPr>
          <w:p w:rsidR="00630810" w:rsidRPr="00DE4858" w:rsidRDefault="00630810" w:rsidP="00953D66">
            <w:pPr>
              <w:jc w:val="both"/>
              <w:rPr>
                <w:rFonts w:ascii="Calibri" w:eastAsia="Times New Roman" w:hAnsi="Calibri" w:cs="Times New Roman"/>
                <w:b w:val="0"/>
                <w:sz w:val="18"/>
              </w:rPr>
            </w:pPr>
            <w:r w:rsidRPr="00DE4858">
              <w:rPr>
                <w:rFonts w:ascii="Calibri" w:eastAsia="Times New Roman" w:hAnsi="Calibri" w:cs="Times New Roman"/>
                <w:b w:val="0"/>
                <w:sz w:val="18"/>
              </w:rPr>
              <w:t>Trámites y servicios</w:t>
            </w:r>
          </w:p>
        </w:tc>
        <w:tc>
          <w:tcPr>
            <w:tcW w:w="4882" w:type="dxa"/>
            <w:tcBorders>
              <w:top w:val="none" w:sz="0" w:space="0" w:color="auto"/>
              <w:bottom w:val="none" w:sz="0" w:space="0" w:color="auto"/>
            </w:tcBorders>
            <w:noWrap/>
            <w:hideMark/>
          </w:tcPr>
          <w:p w:rsidR="00630810" w:rsidRPr="00DE4858" w:rsidRDefault="00630810" w:rsidP="00953D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sidRPr="00DE4858">
              <w:rPr>
                <w:rFonts w:ascii="Calibri" w:eastAsia="Times New Roman" w:hAnsi="Calibri" w:cs="Times New Roman"/>
                <w:sz w:val="18"/>
              </w:rPr>
              <w:t>Trámites y servicios</w:t>
            </w:r>
          </w:p>
        </w:tc>
        <w:tc>
          <w:tcPr>
            <w:tcW w:w="1099" w:type="dxa"/>
            <w:tcBorders>
              <w:top w:val="none" w:sz="0" w:space="0" w:color="auto"/>
              <w:bottom w:val="none" w:sz="0" w:space="0" w:color="auto"/>
              <w:right w:val="none" w:sz="0" w:space="0" w:color="auto"/>
            </w:tcBorders>
            <w:noWrap/>
            <w:hideMark/>
          </w:tcPr>
          <w:p w:rsidR="00630810" w:rsidRPr="00DE4858" w:rsidRDefault="00630810" w:rsidP="00953D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5</w:t>
            </w:r>
          </w:p>
        </w:tc>
      </w:tr>
    </w:tbl>
    <w:p w:rsidR="00630810" w:rsidRPr="00DE630F" w:rsidRDefault="00630810" w:rsidP="00DE630F">
      <w:pPr>
        <w:spacing w:after="0" w:line="240" w:lineRule="auto"/>
        <w:jc w:val="both"/>
        <w:rPr>
          <w:rFonts w:ascii="Arial" w:hAnsi="Arial" w:cs="Arial"/>
          <w:sz w:val="24"/>
          <w:szCs w:val="24"/>
        </w:rPr>
      </w:pPr>
    </w:p>
    <w:p w:rsid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En el Sistema de Información ITA se cargó la Matriz de Cumplimiento Normativo para que los Sujetos Obligados la diligencien en línea.</w:t>
      </w:r>
    </w:p>
    <w:p w:rsidR="00630810" w:rsidRPr="00DE630F" w:rsidRDefault="00630810"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Teniendo en cuenta estos tres componentes, la Procuraduría General de la Nación consideró necesario diseñar, desarrollar e implementar un sistema de información, </w:t>
      </w:r>
      <w:r w:rsidRPr="00DE630F">
        <w:rPr>
          <w:rFonts w:ascii="Arial" w:hAnsi="Arial" w:cs="Arial"/>
          <w:sz w:val="24"/>
          <w:szCs w:val="24"/>
        </w:rPr>
        <w:lastRenderedPageBreak/>
        <w:t>cuyo modo de registro de datos fuera tipo encuesta, que permitiera el registro de los sujetos obligados "no tradicionales" de la citada Ley, con el fin de que cada uno de ellos, diligenciara, consultara y actualizara la información del cumplimiento normativo, para que luego el Sistema de Información generara el Índice de Transparencia y Acceso a Información Pública.</w:t>
      </w:r>
    </w:p>
    <w:p w:rsidR="00630810" w:rsidRDefault="00630810"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b/>
          <w:i/>
          <w:sz w:val="24"/>
          <w:szCs w:val="24"/>
          <w:u w:val="single"/>
        </w:rPr>
      </w:pPr>
      <w:r w:rsidRPr="00630810">
        <w:rPr>
          <w:rFonts w:ascii="Arial" w:hAnsi="Arial" w:cs="Arial"/>
          <w:b/>
          <w:i/>
          <w:sz w:val="24"/>
          <w:szCs w:val="24"/>
          <w:u w:val="single"/>
        </w:rPr>
        <w:t>Módulos del Sistema -ITA-</w:t>
      </w:r>
      <w:r w:rsidR="00630810">
        <w:rPr>
          <w:rFonts w:ascii="Arial" w:hAnsi="Arial" w:cs="Arial"/>
          <w:b/>
          <w:i/>
          <w:sz w:val="24"/>
          <w:szCs w:val="24"/>
          <w:u w:val="single"/>
        </w:rPr>
        <w:t>:</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El ITA está conformado por los siguientes módulos:</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i/>
          <w:sz w:val="24"/>
          <w:szCs w:val="24"/>
        </w:rPr>
      </w:pPr>
      <w:r w:rsidRPr="00630810">
        <w:rPr>
          <w:rFonts w:ascii="Arial" w:hAnsi="Arial" w:cs="Arial"/>
          <w:i/>
          <w:sz w:val="24"/>
          <w:szCs w:val="24"/>
        </w:rPr>
        <w:t>•</w:t>
      </w:r>
      <w:r w:rsidRPr="00630810">
        <w:rPr>
          <w:rFonts w:ascii="Arial" w:hAnsi="Arial" w:cs="Arial"/>
          <w:i/>
          <w:sz w:val="24"/>
          <w:szCs w:val="24"/>
        </w:rPr>
        <w:tab/>
        <w:t>Módulo Administración</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Permite administrar las tablas básicas en donde se pueden crear, editar y eliminar registros y consultar parámetros existentes. También se puede aprobar, rechazar y consultar el registro de los sujetos obligados y cargar datos en forma masiva.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630810">
        <w:rPr>
          <w:rFonts w:ascii="Arial" w:hAnsi="Arial" w:cs="Arial"/>
          <w:i/>
          <w:sz w:val="24"/>
          <w:szCs w:val="24"/>
        </w:rPr>
        <w:tab/>
        <w:t xml:space="preserve">Módulo </w:t>
      </w:r>
      <w:proofErr w:type="gramStart"/>
      <w:r w:rsidRPr="00630810">
        <w:rPr>
          <w:rFonts w:ascii="Arial" w:hAnsi="Arial" w:cs="Arial"/>
          <w:i/>
          <w:sz w:val="24"/>
          <w:szCs w:val="24"/>
        </w:rPr>
        <w:t>indicadores</w:t>
      </w:r>
      <w:proofErr w:type="gramEnd"/>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En este módulo se lleva a cabo el proceso de configuración del índice ITA, se define la periodicidad de la generación de los indicadores que puede ser por mes, año o por periodos que incluyan una fecha “desde” y una fecha “hasta", se definen la dimensión, categoría, subcategoría y preguntas para cada periodo de corte, pe</w:t>
      </w:r>
      <w:r w:rsidR="00630810">
        <w:rPr>
          <w:rFonts w:ascii="Arial" w:hAnsi="Arial" w:cs="Arial"/>
          <w:sz w:val="24"/>
          <w:szCs w:val="24"/>
        </w:rPr>
        <w:t xml:space="preserve">rmite configurar los pesos por </w:t>
      </w:r>
      <w:r w:rsidRPr="00DE630F">
        <w:rPr>
          <w:rFonts w:ascii="Arial" w:hAnsi="Arial" w:cs="Arial"/>
          <w:sz w:val="24"/>
          <w:szCs w:val="24"/>
        </w:rPr>
        <w:t>categoría y subcategoría y se definen versiones del indicador para cada periodo de corte.</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DE630F">
        <w:rPr>
          <w:rFonts w:ascii="Arial" w:hAnsi="Arial" w:cs="Arial"/>
          <w:sz w:val="24"/>
          <w:szCs w:val="24"/>
        </w:rPr>
        <w:tab/>
      </w:r>
      <w:r w:rsidRPr="00630810">
        <w:rPr>
          <w:rFonts w:ascii="Arial" w:hAnsi="Arial" w:cs="Arial"/>
          <w:i/>
          <w:sz w:val="24"/>
          <w:szCs w:val="24"/>
        </w:rPr>
        <w:t>Módulo de Vigilancia y Seguimiento</w:t>
      </w: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 </w:t>
      </w: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Este módulo permite seleccionar a los sujetos obligados a los cuales se les verificará la información registrada para determinar su veracidad, igualmente permite realizar una auditoría a cada sujeto obligado, manteniendo la información inicialmente registrada.</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DE630F">
        <w:rPr>
          <w:rFonts w:ascii="Arial" w:hAnsi="Arial" w:cs="Arial"/>
          <w:sz w:val="24"/>
          <w:szCs w:val="24"/>
        </w:rPr>
        <w:tab/>
      </w:r>
      <w:r w:rsidRPr="00630810">
        <w:rPr>
          <w:rFonts w:ascii="Arial" w:hAnsi="Arial" w:cs="Arial"/>
          <w:i/>
          <w:sz w:val="24"/>
          <w:szCs w:val="24"/>
        </w:rPr>
        <w:t>Módulo Seguridad</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Permite realizar la configuración del correo, se consultan los log del sistema, se definen los perfiles de seguridad para los usuarios del sistema, se administran los </w:t>
      </w:r>
      <w:r w:rsidRPr="00DE630F">
        <w:rPr>
          <w:rFonts w:ascii="Arial" w:hAnsi="Arial" w:cs="Arial"/>
          <w:sz w:val="24"/>
          <w:szCs w:val="24"/>
        </w:rPr>
        <w:lastRenderedPageBreak/>
        <w:t>datos generales de los sujetos obligados y habilita realizar cambio de claves a los usuarios.</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DE630F">
        <w:rPr>
          <w:rFonts w:ascii="Arial" w:hAnsi="Arial" w:cs="Arial"/>
          <w:sz w:val="24"/>
          <w:szCs w:val="24"/>
        </w:rPr>
        <w:tab/>
      </w:r>
      <w:r w:rsidRPr="00630810">
        <w:rPr>
          <w:rFonts w:ascii="Arial" w:hAnsi="Arial" w:cs="Arial"/>
          <w:i/>
          <w:sz w:val="24"/>
          <w:szCs w:val="24"/>
        </w:rPr>
        <w:t>Reportes</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En este módulo se pueden consultar los sujetos obligados registrados en el sistema, los que reportan y no reportan información, así como los resultados del indicador por sujeto obligado. Igualmente permite descargar la matriz de cumplimiento diligenciada para cada sujeto obligado.</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w:t>
      </w:r>
      <w:r w:rsidRPr="00DE630F">
        <w:rPr>
          <w:rFonts w:ascii="Arial" w:hAnsi="Arial" w:cs="Arial"/>
          <w:sz w:val="24"/>
          <w:szCs w:val="24"/>
        </w:rPr>
        <w:tab/>
      </w:r>
      <w:r w:rsidRPr="00630810">
        <w:rPr>
          <w:rFonts w:ascii="Arial" w:hAnsi="Arial" w:cs="Arial"/>
          <w:i/>
          <w:sz w:val="24"/>
          <w:szCs w:val="24"/>
        </w:rPr>
        <w:t>Consultas</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Módulo donde se puede consultar el nivel de cumplimiento por cada sujeto obligado registrado, y no se requiere estar registrado en el sistema para ver la información expuesta allí.</w:t>
      </w:r>
    </w:p>
    <w:p w:rsidR="00DE630F" w:rsidRPr="00DE630F" w:rsidRDefault="00DE630F" w:rsidP="00DE630F">
      <w:pPr>
        <w:spacing w:after="0" w:line="240" w:lineRule="auto"/>
        <w:jc w:val="both"/>
        <w:rPr>
          <w:rFonts w:ascii="Arial" w:hAnsi="Arial" w:cs="Arial"/>
          <w:sz w:val="24"/>
          <w:szCs w:val="24"/>
        </w:rPr>
      </w:pPr>
    </w:p>
    <w:p w:rsidR="00DE630F" w:rsidRPr="00630810" w:rsidRDefault="00630810" w:rsidP="00DE630F">
      <w:pPr>
        <w:spacing w:after="0" w:line="240" w:lineRule="auto"/>
        <w:jc w:val="both"/>
        <w:rPr>
          <w:rFonts w:ascii="Arial" w:hAnsi="Arial" w:cs="Arial"/>
          <w:b/>
          <w:i/>
          <w:sz w:val="24"/>
          <w:szCs w:val="24"/>
          <w:u w:val="single"/>
        </w:rPr>
      </w:pPr>
      <w:proofErr w:type="spellStart"/>
      <w:r>
        <w:rPr>
          <w:rFonts w:ascii="Arial" w:hAnsi="Arial" w:cs="Arial"/>
          <w:b/>
          <w:i/>
          <w:sz w:val="24"/>
          <w:szCs w:val="24"/>
          <w:u w:val="single"/>
        </w:rPr>
        <w:t>Indice</w:t>
      </w:r>
      <w:proofErr w:type="spellEnd"/>
      <w:r>
        <w:rPr>
          <w:rFonts w:ascii="Arial" w:hAnsi="Arial" w:cs="Arial"/>
          <w:b/>
          <w:i/>
          <w:sz w:val="24"/>
          <w:szCs w:val="24"/>
          <w:u w:val="single"/>
        </w:rPr>
        <w:t xml:space="preserve"> de Cumplimiento ITA:</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i/>
          <w:sz w:val="24"/>
          <w:szCs w:val="24"/>
        </w:rPr>
      </w:pPr>
      <w:r w:rsidRPr="00630810">
        <w:rPr>
          <w:rFonts w:ascii="Arial" w:hAnsi="Arial" w:cs="Arial"/>
          <w:i/>
          <w:sz w:val="24"/>
          <w:szCs w:val="24"/>
        </w:rPr>
        <w:t>Qué es</w:t>
      </w:r>
      <w:proofErr w:type="gramStart"/>
      <w:r w:rsidRPr="00630810">
        <w:rPr>
          <w:rFonts w:ascii="Arial" w:hAnsi="Arial" w:cs="Arial"/>
          <w:i/>
          <w:sz w:val="24"/>
          <w:szCs w:val="24"/>
        </w:rPr>
        <w:t>?</w:t>
      </w:r>
      <w:proofErr w:type="gramEnd"/>
      <w:r w:rsidRPr="00630810">
        <w:rPr>
          <w:rFonts w:ascii="Arial" w:hAnsi="Arial" w:cs="Arial"/>
          <w:i/>
          <w:sz w:val="24"/>
          <w:szCs w:val="24"/>
        </w:rPr>
        <w:t xml:space="preserve">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Es un indicador sintético de pesos preestablecidos y estandarizados en escala ordinal. Se alimenta 100% de variables binarias de cumplimiento, por lo tanto, establece un nivel de cumplimiento de cada variable que lo compone. Existe la no aplicabilidad de datos, por lo que se responderán las unidades disponibles para el cálculo. De esta forma, un promedio simple del indicador equivale a un porcentaje de cumplimiento, teniendo en cuenta el tipo de variable discreta que compone toda la estructura del ITA.</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i/>
          <w:sz w:val="24"/>
          <w:szCs w:val="24"/>
        </w:rPr>
      </w:pPr>
      <w:r w:rsidRPr="00630810">
        <w:rPr>
          <w:rFonts w:ascii="Arial" w:hAnsi="Arial" w:cs="Arial"/>
          <w:i/>
          <w:sz w:val="24"/>
          <w:szCs w:val="24"/>
        </w:rPr>
        <w:t>Unidad de medida:</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 xml:space="preserve">Escala ordinal de 0 a 100 puntos, a medida que se acerca a 100 el porcentaje es mayor.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630810">
        <w:rPr>
          <w:rFonts w:ascii="Arial" w:hAnsi="Arial" w:cs="Arial"/>
          <w:i/>
          <w:sz w:val="24"/>
          <w:szCs w:val="24"/>
        </w:rPr>
        <w:t xml:space="preserve">Desagregación: </w:t>
      </w:r>
      <w:r w:rsidRPr="00DE630F">
        <w:rPr>
          <w:rFonts w:ascii="Arial" w:hAnsi="Arial" w:cs="Arial"/>
          <w:sz w:val="24"/>
          <w:szCs w:val="24"/>
        </w:rPr>
        <w:t>Entidades.</w:t>
      </w:r>
    </w:p>
    <w:p w:rsidR="00DE630F" w:rsidRPr="00DE630F" w:rsidRDefault="00DE630F" w:rsidP="00DE630F">
      <w:pPr>
        <w:spacing w:after="0" w:line="240" w:lineRule="auto"/>
        <w:jc w:val="both"/>
        <w:rPr>
          <w:rFonts w:ascii="Arial" w:hAnsi="Arial" w:cs="Arial"/>
          <w:sz w:val="24"/>
          <w:szCs w:val="24"/>
        </w:rPr>
      </w:pPr>
    </w:p>
    <w:p w:rsidR="00DE630F" w:rsidRPr="00630810" w:rsidRDefault="00DE630F" w:rsidP="00DE630F">
      <w:pPr>
        <w:spacing w:after="0" w:line="240" w:lineRule="auto"/>
        <w:jc w:val="both"/>
        <w:rPr>
          <w:rFonts w:ascii="Arial" w:hAnsi="Arial" w:cs="Arial"/>
          <w:i/>
          <w:sz w:val="24"/>
          <w:szCs w:val="24"/>
        </w:rPr>
      </w:pPr>
      <w:r w:rsidRPr="00630810">
        <w:rPr>
          <w:rFonts w:ascii="Arial" w:hAnsi="Arial" w:cs="Arial"/>
          <w:i/>
          <w:sz w:val="24"/>
          <w:szCs w:val="24"/>
        </w:rPr>
        <w:t xml:space="preserve">Metodología de recolección de información: </w:t>
      </w:r>
    </w:p>
    <w:p w:rsidR="00DE630F" w:rsidRPr="00DE630F" w:rsidRDefault="00DE630F" w:rsidP="00DE630F">
      <w:pPr>
        <w:spacing w:after="0" w:line="240" w:lineRule="auto"/>
        <w:jc w:val="both"/>
        <w:rPr>
          <w:rFonts w:ascii="Arial" w:hAnsi="Arial" w:cs="Arial"/>
          <w:sz w:val="24"/>
          <w:szCs w:val="24"/>
        </w:rPr>
      </w:pPr>
    </w:p>
    <w:p w:rsidR="00DE630F" w:rsidRPr="00DE630F" w:rsidRDefault="00DE630F" w:rsidP="00DE630F">
      <w:pPr>
        <w:spacing w:after="0" w:line="240" w:lineRule="auto"/>
        <w:jc w:val="both"/>
        <w:rPr>
          <w:rFonts w:ascii="Arial" w:hAnsi="Arial" w:cs="Arial"/>
          <w:sz w:val="24"/>
          <w:szCs w:val="24"/>
        </w:rPr>
      </w:pPr>
      <w:r w:rsidRPr="00DE630F">
        <w:rPr>
          <w:rFonts w:ascii="Arial" w:hAnsi="Arial" w:cs="Arial"/>
          <w:sz w:val="24"/>
          <w:szCs w:val="24"/>
        </w:rPr>
        <w:t>La fuente principal del ITA de genera a través de un formulario de captura de información, el cual corresponde, como se mencionó anteriormente, a la Matriz de Cumplimiento Normativo creada por el Grupo de Transparencia.</w:t>
      </w:r>
    </w:p>
    <w:p w:rsidR="00630810" w:rsidRDefault="00630810" w:rsidP="00DE630F">
      <w:pPr>
        <w:spacing w:after="0" w:line="240" w:lineRule="auto"/>
        <w:jc w:val="both"/>
        <w:rPr>
          <w:rFonts w:ascii="Arial" w:hAnsi="Arial" w:cs="Arial"/>
          <w:sz w:val="24"/>
          <w:szCs w:val="24"/>
        </w:rPr>
      </w:pPr>
    </w:p>
    <w:p w:rsidR="00630810" w:rsidRPr="00630810" w:rsidRDefault="00630810" w:rsidP="00630810">
      <w:pPr>
        <w:rPr>
          <w:rFonts w:ascii="Arial" w:hAnsi="Arial" w:cs="Arial"/>
          <w:b/>
          <w:i/>
          <w:sz w:val="24"/>
          <w:szCs w:val="24"/>
          <w:u w:val="single"/>
        </w:rPr>
      </w:pPr>
      <w:r w:rsidRPr="00630810">
        <w:rPr>
          <w:rFonts w:ascii="Arial" w:hAnsi="Arial" w:cs="Arial"/>
          <w:b/>
          <w:i/>
          <w:sz w:val="24"/>
          <w:szCs w:val="24"/>
          <w:u w:val="single"/>
        </w:rPr>
        <w:t>Prueba Piloto:</w:t>
      </w:r>
    </w:p>
    <w:p w:rsidR="00630810" w:rsidRDefault="00630810" w:rsidP="00630810">
      <w:pPr>
        <w:spacing w:after="0" w:line="240" w:lineRule="auto"/>
        <w:jc w:val="both"/>
        <w:rPr>
          <w:rFonts w:ascii="Arial" w:hAnsi="Arial" w:cs="Arial"/>
          <w:sz w:val="24"/>
          <w:szCs w:val="24"/>
        </w:rPr>
      </w:pPr>
      <w:r w:rsidRPr="00DE630F">
        <w:rPr>
          <w:rFonts w:ascii="Arial" w:hAnsi="Arial" w:cs="Arial"/>
          <w:sz w:val="24"/>
          <w:szCs w:val="24"/>
        </w:rPr>
        <w:t xml:space="preserve">Entre el 13 de junio y el 14 de agosto de 2017, se llevó a cabo una prueba Piloto </w:t>
      </w:r>
      <w:r>
        <w:rPr>
          <w:rFonts w:ascii="Arial" w:hAnsi="Arial" w:cs="Arial"/>
          <w:sz w:val="24"/>
          <w:szCs w:val="24"/>
        </w:rPr>
        <w:t>con 344 Sujetos Obligados</w:t>
      </w:r>
      <w:r w:rsidRPr="00DE630F">
        <w:rPr>
          <w:rFonts w:ascii="Arial" w:hAnsi="Arial" w:cs="Arial"/>
          <w:sz w:val="24"/>
          <w:szCs w:val="24"/>
        </w:rPr>
        <w:t>, con el fin de verificar que el Sistema</w:t>
      </w:r>
      <w:r>
        <w:rPr>
          <w:rFonts w:ascii="Arial" w:hAnsi="Arial" w:cs="Arial"/>
          <w:sz w:val="24"/>
          <w:szCs w:val="24"/>
        </w:rPr>
        <w:t xml:space="preserve"> de Información </w:t>
      </w:r>
      <w:r w:rsidRPr="00DE630F">
        <w:rPr>
          <w:rFonts w:ascii="Arial" w:hAnsi="Arial" w:cs="Arial"/>
          <w:sz w:val="24"/>
          <w:szCs w:val="24"/>
        </w:rPr>
        <w:t xml:space="preserve">cumpliera con los requerimientos </w:t>
      </w:r>
      <w:r>
        <w:rPr>
          <w:rFonts w:ascii="Arial" w:hAnsi="Arial" w:cs="Arial"/>
          <w:sz w:val="24"/>
          <w:szCs w:val="24"/>
        </w:rPr>
        <w:t>realizados por la Procuraduría, obteniendo los siguientes resultados:</w:t>
      </w:r>
    </w:p>
    <w:p w:rsidR="00630810" w:rsidRDefault="00630810" w:rsidP="00630810">
      <w:pPr>
        <w:spacing w:after="0" w:line="240" w:lineRule="auto"/>
        <w:jc w:val="both"/>
        <w:rPr>
          <w:rFonts w:ascii="Arial" w:hAnsi="Arial" w:cs="Arial"/>
          <w:sz w:val="24"/>
          <w:szCs w:val="24"/>
        </w:rPr>
      </w:pPr>
    </w:p>
    <w:p w:rsidR="00630810" w:rsidRPr="00630810" w:rsidRDefault="00630810" w:rsidP="00630810">
      <w:pPr>
        <w:jc w:val="center"/>
        <w:rPr>
          <w:rFonts w:ascii="Arial" w:hAnsi="Arial" w:cs="Arial"/>
          <w:b/>
          <w:sz w:val="20"/>
          <w:szCs w:val="20"/>
        </w:rPr>
      </w:pPr>
      <w:r>
        <w:rPr>
          <w:rFonts w:ascii="Arial" w:hAnsi="Arial" w:cs="Arial"/>
          <w:b/>
          <w:sz w:val="20"/>
          <w:szCs w:val="20"/>
        </w:rPr>
        <w:t>T</w:t>
      </w:r>
      <w:r w:rsidRPr="00630810">
        <w:rPr>
          <w:rFonts w:ascii="Arial" w:hAnsi="Arial" w:cs="Arial"/>
          <w:b/>
          <w:sz w:val="20"/>
          <w:szCs w:val="20"/>
        </w:rPr>
        <w:t>abla N°</w:t>
      </w:r>
      <w:r>
        <w:rPr>
          <w:rFonts w:ascii="Arial" w:hAnsi="Arial" w:cs="Arial"/>
          <w:b/>
          <w:sz w:val="20"/>
          <w:szCs w:val="20"/>
        </w:rPr>
        <w:t xml:space="preserve"> 2.</w:t>
      </w:r>
      <w:r w:rsidRPr="00630810">
        <w:rPr>
          <w:rFonts w:ascii="Arial" w:hAnsi="Arial" w:cs="Arial"/>
          <w:b/>
          <w:sz w:val="20"/>
          <w:szCs w:val="20"/>
        </w:rPr>
        <w:t xml:space="preserve"> Entidades seleccionadas prueba Piloto</w:t>
      </w:r>
    </w:p>
    <w:p w:rsidR="00630810" w:rsidRPr="00630810" w:rsidRDefault="00630810" w:rsidP="00630810">
      <w:pPr>
        <w:jc w:val="center"/>
        <w:rPr>
          <w:rFonts w:ascii="Arial" w:hAnsi="Arial" w:cs="Arial"/>
          <w:b/>
          <w:sz w:val="20"/>
          <w:szCs w:val="20"/>
        </w:rPr>
      </w:pPr>
      <w:r w:rsidRPr="00630810">
        <w:rPr>
          <w:noProof/>
          <w:lang w:eastAsia="es-CO"/>
        </w:rPr>
        <w:drawing>
          <wp:inline distT="0" distB="0" distL="0" distR="0" wp14:anchorId="5B936FB0" wp14:editId="42309791">
            <wp:extent cx="3950970" cy="20948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0970" cy="2094865"/>
                    </a:xfrm>
                    <a:prstGeom prst="rect">
                      <a:avLst/>
                    </a:prstGeom>
                    <a:noFill/>
                    <a:ln>
                      <a:noFill/>
                    </a:ln>
                  </pic:spPr>
                </pic:pic>
              </a:graphicData>
            </a:graphic>
          </wp:inline>
        </w:drawing>
      </w:r>
    </w:p>
    <w:p w:rsidR="00630810" w:rsidRP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Pr="00630810" w:rsidRDefault="00630810" w:rsidP="00630810">
      <w:pPr>
        <w:jc w:val="center"/>
        <w:rPr>
          <w:rFonts w:ascii="Arial" w:hAnsi="Arial" w:cs="Arial"/>
          <w:b/>
          <w:sz w:val="20"/>
          <w:szCs w:val="20"/>
        </w:rPr>
      </w:pPr>
      <w:r>
        <w:rPr>
          <w:rFonts w:ascii="Arial" w:hAnsi="Arial" w:cs="Arial"/>
          <w:b/>
          <w:sz w:val="20"/>
          <w:szCs w:val="20"/>
        </w:rPr>
        <w:lastRenderedPageBreak/>
        <w:t xml:space="preserve">Tabla N° 3. </w:t>
      </w:r>
      <w:r w:rsidRPr="00630810">
        <w:rPr>
          <w:rFonts w:ascii="Arial" w:hAnsi="Arial" w:cs="Arial"/>
          <w:b/>
          <w:sz w:val="20"/>
          <w:szCs w:val="20"/>
        </w:rPr>
        <w:t>Entidades registradas en el ITA - prueba Piloto</w:t>
      </w:r>
    </w:p>
    <w:p w:rsidR="00630810" w:rsidRPr="00630810" w:rsidRDefault="00630810" w:rsidP="00630810">
      <w:pPr>
        <w:jc w:val="center"/>
        <w:rPr>
          <w:rFonts w:ascii="Arial" w:hAnsi="Arial" w:cs="Arial"/>
          <w:b/>
          <w:sz w:val="20"/>
          <w:szCs w:val="20"/>
        </w:rPr>
      </w:pPr>
      <w:r w:rsidRPr="00630810">
        <w:rPr>
          <w:noProof/>
          <w:lang w:eastAsia="es-CO"/>
        </w:rPr>
        <w:drawing>
          <wp:inline distT="0" distB="0" distL="0" distR="0" wp14:anchorId="5D336D57" wp14:editId="18F69061">
            <wp:extent cx="3962965" cy="1903862"/>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4498" cy="1914207"/>
                    </a:xfrm>
                    <a:prstGeom prst="rect">
                      <a:avLst/>
                    </a:prstGeom>
                    <a:noFill/>
                    <a:ln>
                      <a:noFill/>
                    </a:ln>
                  </pic:spPr>
                </pic:pic>
              </a:graphicData>
            </a:graphic>
          </wp:inline>
        </w:drawing>
      </w:r>
    </w:p>
    <w:p w:rsidR="00630810" w:rsidRDefault="00630810" w:rsidP="00630810">
      <w:pPr>
        <w:jc w:val="center"/>
        <w:rPr>
          <w:rFonts w:ascii="Arial" w:hAnsi="Arial" w:cs="Arial"/>
          <w:b/>
          <w:sz w:val="20"/>
          <w:szCs w:val="20"/>
        </w:rPr>
      </w:pPr>
    </w:p>
    <w:p w:rsidR="00630810" w:rsidRPr="00630810" w:rsidRDefault="00630810" w:rsidP="00630810">
      <w:pPr>
        <w:jc w:val="center"/>
        <w:rPr>
          <w:rFonts w:ascii="Arial" w:hAnsi="Arial" w:cs="Arial"/>
          <w:b/>
          <w:sz w:val="20"/>
          <w:szCs w:val="20"/>
        </w:rPr>
      </w:pPr>
      <w:r w:rsidRPr="00630810">
        <w:rPr>
          <w:rFonts w:ascii="Arial" w:hAnsi="Arial" w:cs="Arial"/>
          <w:b/>
          <w:sz w:val="20"/>
          <w:szCs w:val="20"/>
        </w:rPr>
        <w:t>Tabla N°</w:t>
      </w:r>
      <w:r>
        <w:rPr>
          <w:rFonts w:ascii="Arial" w:hAnsi="Arial" w:cs="Arial"/>
          <w:b/>
          <w:sz w:val="20"/>
          <w:szCs w:val="20"/>
        </w:rPr>
        <w:t xml:space="preserve"> 4. </w:t>
      </w:r>
      <w:r w:rsidRPr="00630810">
        <w:rPr>
          <w:rFonts w:ascii="Arial" w:hAnsi="Arial" w:cs="Arial"/>
          <w:b/>
          <w:sz w:val="20"/>
          <w:szCs w:val="20"/>
        </w:rPr>
        <w:t>Entidades que reportaron información en el ITA- prueba Piloto</w:t>
      </w:r>
    </w:p>
    <w:p w:rsidR="00630810" w:rsidRPr="00630810" w:rsidRDefault="00630810" w:rsidP="00630810">
      <w:pPr>
        <w:jc w:val="center"/>
        <w:rPr>
          <w:rFonts w:ascii="Arial" w:hAnsi="Arial" w:cs="Arial"/>
          <w:b/>
          <w:sz w:val="24"/>
          <w:szCs w:val="24"/>
        </w:rPr>
      </w:pPr>
      <w:r w:rsidRPr="00630810">
        <w:rPr>
          <w:noProof/>
          <w:lang w:eastAsia="es-CO"/>
        </w:rPr>
        <w:drawing>
          <wp:inline distT="0" distB="0" distL="0" distR="0" wp14:anchorId="460D90AF" wp14:editId="1174734D">
            <wp:extent cx="3994303" cy="1849271"/>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8746" cy="1851328"/>
                    </a:xfrm>
                    <a:prstGeom prst="rect">
                      <a:avLst/>
                    </a:prstGeom>
                    <a:noFill/>
                    <a:ln>
                      <a:noFill/>
                    </a:ln>
                  </pic:spPr>
                </pic:pic>
              </a:graphicData>
            </a:graphic>
          </wp:inline>
        </w:drawing>
      </w:r>
    </w:p>
    <w:p w:rsidR="00630810" w:rsidRPr="00630810" w:rsidRDefault="00630810" w:rsidP="00630810">
      <w:pPr>
        <w:jc w:val="both"/>
        <w:rPr>
          <w:rFonts w:ascii="Arial" w:hAnsi="Arial" w:cs="Arial"/>
          <w:b/>
          <w:sz w:val="24"/>
          <w:szCs w:val="24"/>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Default="00630810" w:rsidP="00630810">
      <w:pPr>
        <w:jc w:val="center"/>
        <w:rPr>
          <w:rFonts w:ascii="Arial" w:hAnsi="Arial" w:cs="Arial"/>
          <w:b/>
          <w:sz w:val="20"/>
          <w:szCs w:val="20"/>
        </w:rPr>
      </w:pPr>
    </w:p>
    <w:p w:rsidR="00630810" w:rsidRPr="00630810" w:rsidRDefault="00630810" w:rsidP="00630810">
      <w:pPr>
        <w:jc w:val="center"/>
        <w:rPr>
          <w:rFonts w:ascii="Arial" w:hAnsi="Arial" w:cs="Arial"/>
          <w:b/>
          <w:sz w:val="20"/>
          <w:szCs w:val="20"/>
        </w:rPr>
      </w:pPr>
      <w:r w:rsidRPr="00630810">
        <w:rPr>
          <w:rFonts w:ascii="Arial" w:hAnsi="Arial" w:cs="Arial"/>
          <w:b/>
          <w:sz w:val="20"/>
          <w:szCs w:val="20"/>
        </w:rPr>
        <w:lastRenderedPageBreak/>
        <w:t>Tabla N°</w:t>
      </w:r>
      <w:r>
        <w:rPr>
          <w:rFonts w:ascii="Arial" w:hAnsi="Arial" w:cs="Arial"/>
          <w:b/>
          <w:sz w:val="20"/>
          <w:szCs w:val="20"/>
        </w:rPr>
        <w:t xml:space="preserve">5. </w:t>
      </w:r>
      <w:r w:rsidRPr="00630810">
        <w:rPr>
          <w:rFonts w:ascii="Arial" w:hAnsi="Arial" w:cs="Arial"/>
          <w:b/>
          <w:sz w:val="20"/>
          <w:szCs w:val="20"/>
        </w:rPr>
        <w:t>Entidades que NO reportaron información en el ITA- prueba Piloto</w:t>
      </w:r>
    </w:p>
    <w:p w:rsidR="00630810" w:rsidRPr="00630810" w:rsidRDefault="00630810" w:rsidP="00630810">
      <w:pPr>
        <w:jc w:val="center"/>
        <w:rPr>
          <w:rFonts w:ascii="Arial" w:hAnsi="Arial" w:cs="Arial"/>
          <w:b/>
          <w:sz w:val="20"/>
          <w:szCs w:val="20"/>
        </w:rPr>
      </w:pPr>
      <w:r w:rsidRPr="00630810">
        <w:rPr>
          <w:noProof/>
          <w:lang w:eastAsia="es-CO"/>
        </w:rPr>
        <w:drawing>
          <wp:inline distT="0" distB="0" distL="0" distR="0" wp14:anchorId="3B780FC3" wp14:editId="08018DED">
            <wp:extent cx="3911956" cy="1897039"/>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5720" cy="1913413"/>
                    </a:xfrm>
                    <a:prstGeom prst="rect">
                      <a:avLst/>
                    </a:prstGeom>
                    <a:noFill/>
                    <a:ln>
                      <a:noFill/>
                    </a:ln>
                  </pic:spPr>
                </pic:pic>
              </a:graphicData>
            </a:graphic>
          </wp:inline>
        </w:drawing>
      </w:r>
    </w:p>
    <w:p w:rsidR="00630810" w:rsidRPr="00630810" w:rsidRDefault="00630810" w:rsidP="00630810">
      <w:pPr>
        <w:jc w:val="center"/>
        <w:rPr>
          <w:rFonts w:ascii="Arial" w:hAnsi="Arial" w:cs="Arial"/>
          <w:b/>
          <w:sz w:val="20"/>
          <w:szCs w:val="20"/>
        </w:rPr>
      </w:pPr>
      <w:r w:rsidRPr="00630810">
        <w:rPr>
          <w:rFonts w:ascii="Arial" w:hAnsi="Arial" w:cs="Arial"/>
          <w:b/>
          <w:sz w:val="20"/>
          <w:szCs w:val="20"/>
        </w:rPr>
        <w:t>Tabla N°</w:t>
      </w:r>
      <w:r>
        <w:rPr>
          <w:rFonts w:ascii="Arial" w:hAnsi="Arial" w:cs="Arial"/>
          <w:b/>
          <w:sz w:val="20"/>
          <w:szCs w:val="20"/>
        </w:rPr>
        <w:t xml:space="preserve"> 6.</w:t>
      </w:r>
      <w:r w:rsidRPr="00630810">
        <w:rPr>
          <w:rFonts w:ascii="Arial" w:hAnsi="Arial" w:cs="Arial"/>
          <w:b/>
          <w:sz w:val="20"/>
          <w:szCs w:val="20"/>
        </w:rPr>
        <w:t xml:space="preserve"> Entidades NO registradas en el ITA- prueba Piloto</w:t>
      </w:r>
    </w:p>
    <w:p w:rsidR="00630810" w:rsidRPr="00630810" w:rsidRDefault="00630810" w:rsidP="00630810">
      <w:pPr>
        <w:jc w:val="center"/>
        <w:rPr>
          <w:rFonts w:ascii="Arial" w:hAnsi="Arial" w:cs="Arial"/>
          <w:b/>
          <w:sz w:val="20"/>
          <w:szCs w:val="20"/>
        </w:rPr>
      </w:pPr>
      <w:r w:rsidRPr="00630810">
        <w:rPr>
          <w:noProof/>
          <w:lang w:eastAsia="es-CO"/>
        </w:rPr>
        <w:drawing>
          <wp:inline distT="0" distB="0" distL="0" distR="0" wp14:anchorId="3EAE67A8" wp14:editId="43CB7877">
            <wp:extent cx="3925607" cy="2053988"/>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280" cy="2066374"/>
                    </a:xfrm>
                    <a:prstGeom prst="rect">
                      <a:avLst/>
                    </a:prstGeom>
                    <a:noFill/>
                    <a:ln>
                      <a:noFill/>
                    </a:ln>
                  </pic:spPr>
                </pic:pic>
              </a:graphicData>
            </a:graphic>
          </wp:inline>
        </w:drawing>
      </w:r>
    </w:p>
    <w:p w:rsidR="00163DE6" w:rsidRDefault="00163DE6" w:rsidP="00163DE6">
      <w:pPr>
        <w:spacing w:after="0" w:line="240" w:lineRule="auto"/>
        <w:jc w:val="both"/>
        <w:rPr>
          <w:rFonts w:ascii="Arial" w:hAnsi="Arial" w:cs="Arial"/>
          <w:sz w:val="24"/>
          <w:szCs w:val="24"/>
        </w:rPr>
      </w:pPr>
      <w:r w:rsidRPr="001B39F7">
        <w:rPr>
          <w:rFonts w:ascii="Arial" w:hAnsi="Arial" w:cs="Arial"/>
          <w:sz w:val="24"/>
          <w:szCs w:val="24"/>
        </w:rPr>
        <w:t xml:space="preserve">A pesar que reportaron información 170 entidades el sistema arrojo el Índice de 157 </w:t>
      </w:r>
      <w:r>
        <w:rPr>
          <w:rFonts w:ascii="Arial" w:hAnsi="Arial" w:cs="Arial"/>
          <w:sz w:val="24"/>
          <w:szCs w:val="24"/>
        </w:rPr>
        <w:t>Sujetos Obligados</w:t>
      </w:r>
      <w:r w:rsidRPr="001B39F7">
        <w:rPr>
          <w:rFonts w:ascii="Arial" w:hAnsi="Arial" w:cs="Arial"/>
          <w:sz w:val="24"/>
          <w:szCs w:val="24"/>
        </w:rPr>
        <w:t xml:space="preserve"> que reportaron el total de la información solicitada en la matriz de autodiagnóstico obteniendo </w:t>
      </w:r>
      <w:r>
        <w:rPr>
          <w:rFonts w:ascii="Arial" w:hAnsi="Arial" w:cs="Arial"/>
          <w:sz w:val="24"/>
          <w:szCs w:val="24"/>
        </w:rPr>
        <w:t>los resultados reflejados en la siguiente tabla:</w:t>
      </w:r>
    </w:p>
    <w:p w:rsidR="00163DE6" w:rsidRDefault="00163DE6" w:rsidP="00163DE6">
      <w:pPr>
        <w:spacing w:after="0" w:line="240" w:lineRule="auto"/>
        <w:jc w:val="center"/>
        <w:rPr>
          <w:rFonts w:ascii="Arial" w:hAnsi="Arial" w:cs="Arial"/>
          <w:b/>
          <w:sz w:val="20"/>
          <w:szCs w:val="20"/>
        </w:rPr>
      </w:pPr>
    </w:p>
    <w:p w:rsidR="00163DE6" w:rsidRPr="00A70D95" w:rsidRDefault="00163DE6" w:rsidP="00163DE6">
      <w:pPr>
        <w:spacing w:after="0" w:line="240" w:lineRule="auto"/>
        <w:jc w:val="center"/>
        <w:rPr>
          <w:rFonts w:ascii="Arial" w:hAnsi="Arial" w:cs="Arial"/>
          <w:b/>
          <w:sz w:val="20"/>
          <w:szCs w:val="20"/>
        </w:rPr>
      </w:pPr>
      <w:r w:rsidRPr="00A70D95">
        <w:rPr>
          <w:rFonts w:ascii="Arial" w:hAnsi="Arial" w:cs="Arial"/>
          <w:b/>
          <w:sz w:val="20"/>
          <w:szCs w:val="20"/>
        </w:rPr>
        <w:t xml:space="preserve">Tabla N° </w:t>
      </w:r>
      <w:r>
        <w:rPr>
          <w:rFonts w:ascii="Arial" w:hAnsi="Arial" w:cs="Arial"/>
          <w:b/>
          <w:sz w:val="20"/>
          <w:szCs w:val="20"/>
        </w:rPr>
        <w:t>7</w:t>
      </w:r>
      <w:r w:rsidRPr="00A70D95">
        <w:rPr>
          <w:rFonts w:ascii="Arial" w:hAnsi="Arial" w:cs="Arial"/>
          <w:b/>
          <w:sz w:val="20"/>
          <w:szCs w:val="20"/>
        </w:rPr>
        <w:t xml:space="preserve">. </w:t>
      </w:r>
      <w:r>
        <w:rPr>
          <w:rFonts w:ascii="Arial" w:hAnsi="Arial" w:cs="Arial"/>
          <w:b/>
          <w:sz w:val="20"/>
          <w:szCs w:val="20"/>
        </w:rPr>
        <w:t>Resultados Indicadores</w:t>
      </w:r>
    </w:p>
    <w:p w:rsidR="00163DE6" w:rsidRDefault="00163DE6" w:rsidP="00163DE6">
      <w:pPr>
        <w:spacing w:after="0" w:line="24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844"/>
        <w:gridCol w:w="980"/>
        <w:gridCol w:w="915"/>
        <w:gridCol w:w="1067"/>
      </w:tblGrid>
      <w:tr w:rsidR="00163DE6" w:rsidRPr="001B39F7" w:rsidTr="00B73CD2">
        <w:trPr>
          <w:trHeight w:val="422"/>
          <w:jc w:val="center"/>
        </w:trPr>
        <w:tc>
          <w:tcPr>
            <w:tcW w:w="844" w:type="dxa"/>
          </w:tcPr>
          <w:p w:rsidR="00163DE6" w:rsidRPr="001B39F7" w:rsidRDefault="00163DE6" w:rsidP="00B73CD2">
            <w:pPr>
              <w:jc w:val="center"/>
              <w:rPr>
                <w:rFonts w:ascii="Arial" w:hAnsi="Arial" w:cs="Arial"/>
                <w:b/>
                <w:sz w:val="16"/>
                <w:szCs w:val="16"/>
              </w:rPr>
            </w:pPr>
            <w:r w:rsidRPr="001B39F7">
              <w:rPr>
                <w:rFonts w:ascii="Arial" w:hAnsi="Arial" w:cs="Arial"/>
                <w:b/>
                <w:sz w:val="16"/>
                <w:szCs w:val="16"/>
              </w:rPr>
              <w:t>Grupo</w:t>
            </w:r>
          </w:p>
        </w:tc>
        <w:tc>
          <w:tcPr>
            <w:tcW w:w="980" w:type="dxa"/>
          </w:tcPr>
          <w:p w:rsidR="00163DE6" w:rsidRPr="001B39F7" w:rsidRDefault="00163DE6" w:rsidP="00B73CD2">
            <w:pPr>
              <w:jc w:val="center"/>
              <w:rPr>
                <w:rFonts w:ascii="Arial" w:hAnsi="Arial" w:cs="Arial"/>
                <w:b/>
                <w:sz w:val="16"/>
                <w:szCs w:val="16"/>
              </w:rPr>
            </w:pPr>
            <w:r w:rsidRPr="001B39F7">
              <w:rPr>
                <w:rFonts w:ascii="Arial" w:hAnsi="Arial" w:cs="Arial"/>
                <w:b/>
                <w:sz w:val="16"/>
                <w:szCs w:val="16"/>
              </w:rPr>
              <w:t>Mínimo ITA</w:t>
            </w:r>
          </w:p>
        </w:tc>
        <w:tc>
          <w:tcPr>
            <w:tcW w:w="915" w:type="dxa"/>
          </w:tcPr>
          <w:p w:rsidR="00163DE6" w:rsidRPr="001B39F7" w:rsidRDefault="00163DE6" w:rsidP="00B73CD2">
            <w:pPr>
              <w:jc w:val="center"/>
              <w:rPr>
                <w:rFonts w:ascii="Arial" w:hAnsi="Arial" w:cs="Arial"/>
                <w:b/>
                <w:sz w:val="16"/>
                <w:szCs w:val="16"/>
              </w:rPr>
            </w:pPr>
            <w:r w:rsidRPr="001B39F7">
              <w:rPr>
                <w:rFonts w:ascii="Arial" w:hAnsi="Arial" w:cs="Arial"/>
                <w:b/>
                <w:sz w:val="16"/>
                <w:szCs w:val="16"/>
              </w:rPr>
              <w:t>Máximo ITA</w:t>
            </w:r>
          </w:p>
        </w:tc>
        <w:tc>
          <w:tcPr>
            <w:tcW w:w="1067" w:type="dxa"/>
          </w:tcPr>
          <w:p w:rsidR="00163DE6" w:rsidRPr="001B39F7" w:rsidRDefault="00163DE6" w:rsidP="00B73CD2">
            <w:pPr>
              <w:jc w:val="center"/>
              <w:rPr>
                <w:rFonts w:ascii="Arial" w:hAnsi="Arial" w:cs="Arial"/>
                <w:b/>
                <w:sz w:val="16"/>
                <w:szCs w:val="16"/>
              </w:rPr>
            </w:pPr>
            <w:r w:rsidRPr="001B39F7">
              <w:rPr>
                <w:rFonts w:ascii="Arial" w:hAnsi="Arial" w:cs="Arial"/>
                <w:b/>
                <w:sz w:val="16"/>
                <w:szCs w:val="16"/>
              </w:rPr>
              <w:t>Cantidad Sujetos</w:t>
            </w:r>
          </w:p>
        </w:tc>
      </w:tr>
      <w:tr w:rsidR="00163DE6" w:rsidRPr="001B39F7" w:rsidTr="00B73CD2">
        <w:trPr>
          <w:trHeight w:val="215"/>
          <w:jc w:val="center"/>
        </w:trPr>
        <w:tc>
          <w:tcPr>
            <w:tcW w:w="844"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1</w:t>
            </w:r>
          </w:p>
        </w:tc>
        <w:tc>
          <w:tcPr>
            <w:tcW w:w="980"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1</w:t>
            </w:r>
          </w:p>
        </w:tc>
        <w:tc>
          <w:tcPr>
            <w:tcW w:w="915"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56</w:t>
            </w:r>
          </w:p>
        </w:tc>
        <w:tc>
          <w:tcPr>
            <w:tcW w:w="1067"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18</w:t>
            </w:r>
          </w:p>
        </w:tc>
      </w:tr>
      <w:tr w:rsidR="00163DE6" w:rsidRPr="001B39F7" w:rsidTr="00B73CD2">
        <w:trPr>
          <w:trHeight w:val="215"/>
          <w:jc w:val="center"/>
        </w:trPr>
        <w:tc>
          <w:tcPr>
            <w:tcW w:w="844"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2</w:t>
            </w:r>
          </w:p>
        </w:tc>
        <w:tc>
          <w:tcPr>
            <w:tcW w:w="980"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57</w:t>
            </w:r>
          </w:p>
        </w:tc>
        <w:tc>
          <w:tcPr>
            <w:tcW w:w="915"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77</w:t>
            </w:r>
          </w:p>
        </w:tc>
        <w:tc>
          <w:tcPr>
            <w:tcW w:w="1067"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34</w:t>
            </w:r>
          </w:p>
        </w:tc>
      </w:tr>
      <w:tr w:rsidR="00163DE6" w:rsidRPr="001B39F7" w:rsidTr="00B73CD2">
        <w:trPr>
          <w:trHeight w:val="215"/>
          <w:jc w:val="center"/>
        </w:trPr>
        <w:tc>
          <w:tcPr>
            <w:tcW w:w="844"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lastRenderedPageBreak/>
              <w:t>3</w:t>
            </w:r>
          </w:p>
        </w:tc>
        <w:tc>
          <w:tcPr>
            <w:tcW w:w="980"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78</w:t>
            </w:r>
          </w:p>
        </w:tc>
        <w:tc>
          <w:tcPr>
            <w:tcW w:w="915"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87</w:t>
            </w:r>
          </w:p>
        </w:tc>
        <w:tc>
          <w:tcPr>
            <w:tcW w:w="1067"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33</w:t>
            </w:r>
          </w:p>
        </w:tc>
      </w:tr>
      <w:tr w:rsidR="00163DE6" w:rsidRPr="001B39F7" w:rsidTr="00B73CD2">
        <w:trPr>
          <w:trHeight w:val="215"/>
          <w:jc w:val="center"/>
        </w:trPr>
        <w:tc>
          <w:tcPr>
            <w:tcW w:w="844"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4</w:t>
            </w:r>
          </w:p>
        </w:tc>
        <w:tc>
          <w:tcPr>
            <w:tcW w:w="980"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88</w:t>
            </w:r>
          </w:p>
        </w:tc>
        <w:tc>
          <w:tcPr>
            <w:tcW w:w="915"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95</w:t>
            </w:r>
          </w:p>
        </w:tc>
        <w:tc>
          <w:tcPr>
            <w:tcW w:w="1067"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39</w:t>
            </w:r>
          </w:p>
        </w:tc>
      </w:tr>
      <w:tr w:rsidR="00163DE6" w:rsidRPr="001B39F7" w:rsidTr="00B73CD2">
        <w:trPr>
          <w:trHeight w:val="215"/>
          <w:jc w:val="center"/>
        </w:trPr>
        <w:tc>
          <w:tcPr>
            <w:tcW w:w="844"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5</w:t>
            </w:r>
          </w:p>
        </w:tc>
        <w:tc>
          <w:tcPr>
            <w:tcW w:w="980"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96</w:t>
            </w:r>
          </w:p>
        </w:tc>
        <w:tc>
          <w:tcPr>
            <w:tcW w:w="915"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100</w:t>
            </w:r>
          </w:p>
        </w:tc>
        <w:tc>
          <w:tcPr>
            <w:tcW w:w="1067" w:type="dxa"/>
          </w:tcPr>
          <w:p w:rsidR="00163DE6" w:rsidRPr="001B39F7" w:rsidRDefault="00163DE6" w:rsidP="00B73CD2">
            <w:pPr>
              <w:jc w:val="center"/>
              <w:rPr>
                <w:rFonts w:ascii="Arial" w:hAnsi="Arial" w:cs="Arial"/>
                <w:sz w:val="16"/>
                <w:szCs w:val="16"/>
              </w:rPr>
            </w:pPr>
            <w:r w:rsidRPr="001B39F7">
              <w:rPr>
                <w:rFonts w:ascii="Arial" w:hAnsi="Arial" w:cs="Arial"/>
                <w:sz w:val="16"/>
                <w:szCs w:val="16"/>
              </w:rPr>
              <w:t>33</w:t>
            </w:r>
          </w:p>
        </w:tc>
      </w:tr>
    </w:tbl>
    <w:p w:rsidR="00163DE6" w:rsidRDefault="00163DE6" w:rsidP="00163DE6">
      <w:pPr>
        <w:spacing w:after="0" w:line="240" w:lineRule="auto"/>
        <w:jc w:val="both"/>
        <w:rPr>
          <w:rFonts w:ascii="Arial" w:hAnsi="Arial" w:cs="Arial"/>
          <w:sz w:val="24"/>
          <w:szCs w:val="24"/>
        </w:rPr>
      </w:pPr>
    </w:p>
    <w:p w:rsidR="00163DE6" w:rsidRPr="001B39F7" w:rsidRDefault="00163DE6" w:rsidP="00163DE6">
      <w:pPr>
        <w:spacing w:after="0" w:line="240" w:lineRule="auto"/>
        <w:jc w:val="both"/>
        <w:rPr>
          <w:rFonts w:ascii="Arial" w:hAnsi="Arial" w:cs="Arial"/>
          <w:sz w:val="24"/>
          <w:szCs w:val="24"/>
        </w:rPr>
      </w:pPr>
      <w:r>
        <w:rPr>
          <w:rFonts w:ascii="Arial" w:hAnsi="Arial" w:cs="Arial"/>
          <w:sz w:val="24"/>
          <w:szCs w:val="24"/>
        </w:rPr>
        <w:t xml:space="preserve">De acuerdo con lo anterior se observa que el 67% de sujetos obligados obtuvo un indicador por encima de 77, lo cual refleja un alto nivel de </w:t>
      </w:r>
      <w:proofErr w:type="spellStart"/>
      <w:r>
        <w:rPr>
          <w:rFonts w:ascii="Arial" w:hAnsi="Arial" w:cs="Arial"/>
          <w:sz w:val="24"/>
          <w:szCs w:val="24"/>
        </w:rPr>
        <w:t>autocalificación</w:t>
      </w:r>
      <w:proofErr w:type="spellEnd"/>
      <w:r>
        <w:rPr>
          <w:rFonts w:ascii="Arial" w:hAnsi="Arial" w:cs="Arial"/>
          <w:sz w:val="24"/>
          <w:szCs w:val="24"/>
        </w:rPr>
        <w:t xml:space="preserve"> que posteriormente debe ser verificado con los soportes adjuntados por los Sujetos Obligados en el Botón de Transparencia de la página web de cada entidad.</w:t>
      </w:r>
    </w:p>
    <w:p w:rsidR="00163DE6" w:rsidRDefault="00163DE6" w:rsidP="00947F8D">
      <w:pPr>
        <w:jc w:val="both"/>
        <w:rPr>
          <w:rFonts w:ascii="Arial" w:hAnsi="Arial" w:cs="Arial"/>
          <w:sz w:val="24"/>
          <w:szCs w:val="24"/>
        </w:rPr>
      </w:pPr>
    </w:p>
    <w:p w:rsidR="00947F8D" w:rsidRDefault="00947F8D" w:rsidP="00947F8D">
      <w:pPr>
        <w:jc w:val="both"/>
        <w:rPr>
          <w:rFonts w:ascii="Arial" w:hAnsi="Arial" w:cs="Arial"/>
          <w:sz w:val="24"/>
          <w:szCs w:val="24"/>
        </w:rPr>
      </w:pPr>
      <w:r w:rsidRPr="00DE630F">
        <w:rPr>
          <w:rFonts w:ascii="Arial" w:hAnsi="Arial" w:cs="Arial"/>
          <w:sz w:val="24"/>
          <w:szCs w:val="24"/>
        </w:rPr>
        <w:t xml:space="preserve">El </w:t>
      </w:r>
      <w:r>
        <w:rPr>
          <w:rFonts w:ascii="Arial" w:hAnsi="Arial" w:cs="Arial"/>
          <w:sz w:val="24"/>
          <w:szCs w:val="24"/>
        </w:rPr>
        <w:t>Grupo de Transparencia, se encuentra adelantando verificaciones para constatar que lo respondido por cada Sujeto Obligado en la prueba Piloto, corresponda con la información publicada en sus respectivas páginas web.</w:t>
      </w:r>
    </w:p>
    <w:p w:rsidR="000C56E1" w:rsidRDefault="00DE630F" w:rsidP="00947F8D">
      <w:pPr>
        <w:jc w:val="both"/>
        <w:rPr>
          <w:rFonts w:ascii="Arial" w:hAnsi="Arial" w:cs="Arial"/>
          <w:sz w:val="24"/>
          <w:szCs w:val="24"/>
        </w:rPr>
      </w:pPr>
      <w:r w:rsidRPr="00DE630F">
        <w:rPr>
          <w:rFonts w:ascii="Arial" w:hAnsi="Arial" w:cs="Arial"/>
          <w:sz w:val="24"/>
          <w:szCs w:val="24"/>
        </w:rPr>
        <w:t xml:space="preserve">El sistema saldrá a producción, luego de que sean realizadas unas pruebas de vulnerabilidad por la Oficina de Sistemas. Desde el próximo año se irán haciendo requerimientos escalonados a los Sujetos Obligados para que se registren y alimenten el ITA y </w:t>
      </w:r>
      <w:r w:rsidR="00947F8D">
        <w:rPr>
          <w:rFonts w:ascii="Arial" w:hAnsi="Arial" w:cs="Arial"/>
          <w:sz w:val="24"/>
          <w:szCs w:val="24"/>
        </w:rPr>
        <w:t>posteriormente realizar el respectivo</w:t>
      </w:r>
      <w:r w:rsidRPr="00DE630F">
        <w:rPr>
          <w:rFonts w:ascii="Arial" w:hAnsi="Arial" w:cs="Arial"/>
          <w:sz w:val="24"/>
          <w:szCs w:val="24"/>
        </w:rPr>
        <w:t xml:space="preserve"> seguimiento y vigilancia del cumplimiento de la Ley 1712 de 2014.</w:t>
      </w:r>
    </w:p>
    <w:p w:rsidR="00B24194" w:rsidRDefault="00B24194" w:rsidP="00947F8D">
      <w:pPr>
        <w:jc w:val="both"/>
        <w:rPr>
          <w:rFonts w:ascii="Arial" w:hAnsi="Arial" w:cs="Arial"/>
          <w:sz w:val="24"/>
          <w:szCs w:val="24"/>
        </w:rPr>
      </w:pPr>
      <w:bookmarkStart w:id="0" w:name="_GoBack"/>
      <w:bookmarkEnd w:id="0"/>
    </w:p>
    <w:p w:rsidR="00B24194" w:rsidRPr="00DE630F" w:rsidRDefault="00B24194" w:rsidP="00947F8D">
      <w:pPr>
        <w:jc w:val="both"/>
        <w:rPr>
          <w:rFonts w:ascii="Arial" w:hAnsi="Arial" w:cs="Arial"/>
          <w:sz w:val="24"/>
          <w:szCs w:val="24"/>
        </w:rPr>
      </w:pPr>
    </w:p>
    <w:sectPr w:rsidR="00B24194" w:rsidRPr="00DE630F" w:rsidSect="00B40ED0">
      <w:headerReference w:type="default" r:id="rId13"/>
      <w:footerReference w:type="default" r:id="rId14"/>
      <w:pgSz w:w="12240" w:h="15840" w:code="1"/>
      <w:pgMar w:top="1134"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364" w:rsidRDefault="00A33364" w:rsidP="00FA3BE8">
      <w:pPr>
        <w:spacing w:after="0" w:line="240" w:lineRule="auto"/>
      </w:pPr>
      <w:r>
        <w:separator/>
      </w:r>
    </w:p>
  </w:endnote>
  <w:endnote w:type="continuationSeparator" w:id="0">
    <w:p w:rsidR="00A33364" w:rsidRDefault="00A33364" w:rsidP="00FA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07" w:rsidRDefault="00D60A07" w:rsidP="00E01C35">
    <w:pPr>
      <w:pBdr>
        <w:top w:val="thinThickSmallGap" w:sz="24" w:space="1" w:color="622423"/>
      </w:pBdr>
      <w:tabs>
        <w:tab w:val="right" w:pos="8273"/>
      </w:tabs>
      <w:spacing w:after="0" w:line="240" w:lineRule="auto"/>
      <w:jc w:val="center"/>
      <w:rPr>
        <w:rFonts w:eastAsia="Times New Roman"/>
        <w:b/>
        <w:sz w:val="16"/>
        <w:szCs w:val="16"/>
        <w:lang w:val="es-MX"/>
      </w:rPr>
    </w:pPr>
    <w:r>
      <w:tab/>
    </w:r>
  </w:p>
  <w:p w:rsidR="00D60A07" w:rsidRDefault="00D60A07" w:rsidP="00E01C35">
    <w:pPr>
      <w:pBdr>
        <w:top w:val="thinThickSmallGap" w:sz="24" w:space="1" w:color="622423"/>
      </w:pBdr>
      <w:tabs>
        <w:tab w:val="right" w:pos="8273"/>
      </w:tabs>
      <w:spacing w:after="0" w:line="240" w:lineRule="auto"/>
      <w:jc w:val="center"/>
      <w:rPr>
        <w:rFonts w:eastAsia="Times New Roman"/>
        <w:b/>
        <w:sz w:val="16"/>
        <w:szCs w:val="16"/>
        <w:lang w:val="es-MX"/>
      </w:rPr>
    </w:pPr>
  </w:p>
  <w:p w:rsidR="00D60A07" w:rsidRDefault="00D60A07" w:rsidP="00E01C35">
    <w:pPr>
      <w:pBdr>
        <w:top w:val="thinThickSmallGap" w:sz="24" w:space="1" w:color="622423"/>
      </w:pBdr>
      <w:tabs>
        <w:tab w:val="right" w:pos="8273"/>
      </w:tabs>
      <w:spacing w:after="0" w:line="240" w:lineRule="auto"/>
      <w:jc w:val="center"/>
      <w:rPr>
        <w:rFonts w:eastAsia="Times New Roman"/>
        <w:b/>
        <w:sz w:val="16"/>
        <w:szCs w:val="16"/>
      </w:rPr>
    </w:pPr>
    <w:r>
      <w:rPr>
        <w:rFonts w:eastAsia="Times New Roman"/>
        <w:b/>
        <w:sz w:val="16"/>
        <w:szCs w:val="16"/>
        <w:lang w:val="es-MX"/>
      </w:rPr>
      <w:t xml:space="preserve">Grupo Transparencia, Integridad y Cultura de lo Público  </w:t>
    </w:r>
    <w:r>
      <w:rPr>
        <w:rFonts w:eastAsia="Times New Roman"/>
        <w:b/>
        <w:sz w:val="16"/>
        <w:szCs w:val="16"/>
      </w:rPr>
      <w:t xml:space="preserve">PBX: 5878750 </w:t>
    </w:r>
    <w:r>
      <w:rPr>
        <w:rFonts w:eastAsia="Times New Roman"/>
        <w:b/>
        <w:sz w:val="16"/>
        <w:szCs w:val="16"/>
        <w:lang w:val="es-MX"/>
      </w:rPr>
      <w:t xml:space="preserve">Ext.: 12025- 12532 Fax 12514 </w:t>
    </w:r>
    <w:r>
      <w:rPr>
        <w:rFonts w:eastAsia="Times New Roman"/>
        <w:b/>
        <w:sz w:val="16"/>
        <w:szCs w:val="16"/>
      </w:rPr>
      <w:t>Carrera 5 No. 15-80 Piso 20</w:t>
    </w:r>
  </w:p>
  <w:p w:rsidR="00D60A07" w:rsidRDefault="00A33364" w:rsidP="00E01C35">
    <w:pPr>
      <w:pBdr>
        <w:top w:val="thinThickSmallGap" w:sz="24" w:space="1" w:color="622423"/>
      </w:pBdr>
      <w:tabs>
        <w:tab w:val="right" w:pos="8273"/>
      </w:tabs>
      <w:spacing w:after="0" w:line="240" w:lineRule="auto"/>
      <w:jc w:val="center"/>
      <w:rPr>
        <w:rFonts w:ascii="Cambria" w:eastAsia="Times New Roman" w:hAnsi="Cambria"/>
        <w:sz w:val="16"/>
        <w:szCs w:val="16"/>
        <w:lang w:val="es-ES" w:eastAsia="es-ES"/>
      </w:rPr>
    </w:pPr>
    <w:hyperlink r:id="rId1" w:history="1">
      <w:r w:rsidR="00D60A07">
        <w:rPr>
          <w:rStyle w:val="Hipervnculo"/>
          <w:rFonts w:eastAsia="Times New Roman"/>
          <w:b/>
          <w:sz w:val="16"/>
          <w:szCs w:val="16"/>
        </w:rPr>
        <w:t>grupotransparencia@procuraduria.gov.co</w:t>
      </w:r>
    </w:hyperlink>
    <w:r w:rsidR="00D60A07">
      <w:rPr>
        <w:rFonts w:eastAsia="Times New Roman"/>
        <w:b/>
        <w:sz w:val="16"/>
        <w:szCs w:val="16"/>
      </w:rPr>
      <w:t xml:space="preserve"> </w:t>
    </w:r>
  </w:p>
  <w:p w:rsidR="00D60A07" w:rsidRDefault="00D60A07" w:rsidP="00E01C35">
    <w:pPr>
      <w:pStyle w:val="Piedepgina"/>
    </w:pPr>
  </w:p>
  <w:p w:rsidR="00D60A07" w:rsidRDefault="00D60A07" w:rsidP="00E01C35">
    <w:pPr>
      <w:pStyle w:val="Piedepgina"/>
      <w:tabs>
        <w:tab w:val="clear" w:pos="4419"/>
        <w:tab w:val="clear" w:pos="8838"/>
        <w:tab w:val="left" w:pos="16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364" w:rsidRDefault="00A33364" w:rsidP="00FA3BE8">
      <w:pPr>
        <w:spacing w:after="0" w:line="240" w:lineRule="auto"/>
      </w:pPr>
      <w:r>
        <w:separator/>
      </w:r>
    </w:p>
  </w:footnote>
  <w:footnote w:type="continuationSeparator" w:id="0">
    <w:p w:rsidR="00A33364" w:rsidRDefault="00A33364" w:rsidP="00FA3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07" w:rsidRDefault="00D60A07" w:rsidP="00FA3BE8">
    <w:pPr>
      <w:pBdr>
        <w:bottom w:val="single" w:sz="6" w:space="1" w:color="auto"/>
      </w:pBdr>
      <w:jc w:val="center"/>
      <w:rPr>
        <w:b/>
      </w:rPr>
    </w:pPr>
  </w:p>
  <w:bookmarkStart w:id="1" w:name="_MON_1576676986"/>
  <w:bookmarkEnd w:id="1"/>
  <w:p w:rsidR="00D60A07" w:rsidRDefault="00D60A07" w:rsidP="00FA3BE8">
    <w:pPr>
      <w:pBdr>
        <w:bottom w:val="single" w:sz="6" w:space="1" w:color="auto"/>
      </w:pBdr>
      <w:jc w:val="center"/>
      <w:rPr>
        <w:b/>
      </w:rPr>
    </w:pPr>
    <w:r w:rsidRPr="00C37B18">
      <w:rPr>
        <w:b/>
        <w:sz w:val="20"/>
      </w:rPr>
      <w:object w:dxaOrig="137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5pt;height:97.6pt" o:ole="" fillcolor="window">
          <v:imagedata r:id="rId1" o:title=""/>
        </v:shape>
        <o:OLEObject Type="Embed" ProgID="Word.Picture.8" ShapeID="_x0000_i1025" DrawAspect="Content" ObjectID="_1580556631" r:id="rId2"/>
      </w:object>
    </w:r>
  </w:p>
  <w:p w:rsidR="00D60A07" w:rsidRPr="00FA3BE8" w:rsidRDefault="00D60A07" w:rsidP="00FA3BE8">
    <w:pPr>
      <w:pBdr>
        <w:bottom w:val="single" w:sz="6" w:space="1" w:color="auto"/>
      </w:pBdr>
      <w:jc w:val="center"/>
      <w:rPr>
        <w:b/>
      </w:rPr>
    </w:pPr>
    <w:r w:rsidRPr="00C37B18">
      <w:rPr>
        <w:b/>
      </w:rPr>
      <w:t>GRUPO DE TRANSPARENCIA</w:t>
    </w:r>
    <w:r>
      <w:rPr>
        <w:b/>
      </w:rPr>
      <w:t>, INTEGRIDAD Y CULTURA DE LO PÚBLICO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F1B"/>
    <w:multiLevelType w:val="hybridMultilevel"/>
    <w:tmpl w:val="795676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DB4A28"/>
    <w:multiLevelType w:val="hybridMultilevel"/>
    <w:tmpl w:val="735046D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EF6925"/>
    <w:multiLevelType w:val="hybridMultilevel"/>
    <w:tmpl w:val="091A9C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842D00"/>
    <w:multiLevelType w:val="hybridMultilevel"/>
    <w:tmpl w:val="FCACE02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4C726AAB"/>
    <w:multiLevelType w:val="hybridMultilevel"/>
    <w:tmpl w:val="CEFAE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481964"/>
    <w:multiLevelType w:val="hybridMultilevel"/>
    <w:tmpl w:val="2C842C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4018A8"/>
    <w:multiLevelType w:val="hybridMultilevel"/>
    <w:tmpl w:val="050A9494"/>
    <w:lvl w:ilvl="0" w:tplc="C464E22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AAF629C"/>
    <w:multiLevelType w:val="hybridMultilevel"/>
    <w:tmpl w:val="930008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5D2DC2"/>
    <w:multiLevelType w:val="hybridMultilevel"/>
    <w:tmpl w:val="3884B2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55"/>
    <w:rsid w:val="00011D2A"/>
    <w:rsid w:val="00014498"/>
    <w:rsid w:val="0005164E"/>
    <w:rsid w:val="000626EF"/>
    <w:rsid w:val="000631FC"/>
    <w:rsid w:val="00072167"/>
    <w:rsid w:val="000C56E1"/>
    <w:rsid w:val="000E0413"/>
    <w:rsid w:val="000F0511"/>
    <w:rsid w:val="0012523C"/>
    <w:rsid w:val="00163DE6"/>
    <w:rsid w:val="001A78A8"/>
    <w:rsid w:val="001B053C"/>
    <w:rsid w:val="001D0DC0"/>
    <w:rsid w:val="002239A2"/>
    <w:rsid w:val="002364FD"/>
    <w:rsid w:val="00251EAB"/>
    <w:rsid w:val="002571E3"/>
    <w:rsid w:val="00263DE9"/>
    <w:rsid w:val="0027453C"/>
    <w:rsid w:val="002832C8"/>
    <w:rsid w:val="0028596D"/>
    <w:rsid w:val="002A22B5"/>
    <w:rsid w:val="002B5600"/>
    <w:rsid w:val="002F7173"/>
    <w:rsid w:val="003011E7"/>
    <w:rsid w:val="00376203"/>
    <w:rsid w:val="00386742"/>
    <w:rsid w:val="003A100A"/>
    <w:rsid w:val="003A7E38"/>
    <w:rsid w:val="00402CDE"/>
    <w:rsid w:val="004113C4"/>
    <w:rsid w:val="004150AD"/>
    <w:rsid w:val="0045396C"/>
    <w:rsid w:val="00464092"/>
    <w:rsid w:val="00543C49"/>
    <w:rsid w:val="0054448E"/>
    <w:rsid w:val="00563BEA"/>
    <w:rsid w:val="00594F22"/>
    <w:rsid w:val="005A2362"/>
    <w:rsid w:val="005C1BB0"/>
    <w:rsid w:val="005E04DC"/>
    <w:rsid w:val="005E13D4"/>
    <w:rsid w:val="005E2BC3"/>
    <w:rsid w:val="005F51B2"/>
    <w:rsid w:val="00630810"/>
    <w:rsid w:val="006678B1"/>
    <w:rsid w:val="00675EC9"/>
    <w:rsid w:val="006B083A"/>
    <w:rsid w:val="007035CD"/>
    <w:rsid w:val="007174EC"/>
    <w:rsid w:val="00717852"/>
    <w:rsid w:val="00721CB9"/>
    <w:rsid w:val="007308B8"/>
    <w:rsid w:val="00764787"/>
    <w:rsid w:val="007F18AE"/>
    <w:rsid w:val="00825133"/>
    <w:rsid w:val="00833912"/>
    <w:rsid w:val="00885061"/>
    <w:rsid w:val="00896342"/>
    <w:rsid w:val="008A3621"/>
    <w:rsid w:val="008F7451"/>
    <w:rsid w:val="0090097F"/>
    <w:rsid w:val="009350DE"/>
    <w:rsid w:val="00936C0E"/>
    <w:rsid w:val="00936CFF"/>
    <w:rsid w:val="00947F8D"/>
    <w:rsid w:val="009762B5"/>
    <w:rsid w:val="00985A87"/>
    <w:rsid w:val="009A08A3"/>
    <w:rsid w:val="009B1508"/>
    <w:rsid w:val="009E25CC"/>
    <w:rsid w:val="009E66BF"/>
    <w:rsid w:val="009F43C2"/>
    <w:rsid w:val="00A05688"/>
    <w:rsid w:val="00A076F7"/>
    <w:rsid w:val="00A25EDB"/>
    <w:rsid w:val="00A26655"/>
    <w:rsid w:val="00A33364"/>
    <w:rsid w:val="00A64355"/>
    <w:rsid w:val="00A749A8"/>
    <w:rsid w:val="00A74FAF"/>
    <w:rsid w:val="00A80DAC"/>
    <w:rsid w:val="00A903CA"/>
    <w:rsid w:val="00AD6E94"/>
    <w:rsid w:val="00B04B28"/>
    <w:rsid w:val="00B13439"/>
    <w:rsid w:val="00B16A35"/>
    <w:rsid w:val="00B24194"/>
    <w:rsid w:val="00B40ED0"/>
    <w:rsid w:val="00B542BA"/>
    <w:rsid w:val="00BD59AB"/>
    <w:rsid w:val="00BE3D4C"/>
    <w:rsid w:val="00BF4F75"/>
    <w:rsid w:val="00C0637A"/>
    <w:rsid w:val="00C3475A"/>
    <w:rsid w:val="00C84B7D"/>
    <w:rsid w:val="00CB7474"/>
    <w:rsid w:val="00CE1F34"/>
    <w:rsid w:val="00CE5FFD"/>
    <w:rsid w:val="00D046DE"/>
    <w:rsid w:val="00D154AF"/>
    <w:rsid w:val="00D17875"/>
    <w:rsid w:val="00D2595C"/>
    <w:rsid w:val="00D5643F"/>
    <w:rsid w:val="00D60A07"/>
    <w:rsid w:val="00D7081F"/>
    <w:rsid w:val="00D94831"/>
    <w:rsid w:val="00DA580F"/>
    <w:rsid w:val="00DD3EC2"/>
    <w:rsid w:val="00DD4746"/>
    <w:rsid w:val="00DE630F"/>
    <w:rsid w:val="00DE7C41"/>
    <w:rsid w:val="00E01C35"/>
    <w:rsid w:val="00E32D31"/>
    <w:rsid w:val="00E40E26"/>
    <w:rsid w:val="00E62B1A"/>
    <w:rsid w:val="00E72A87"/>
    <w:rsid w:val="00EB1807"/>
    <w:rsid w:val="00EB632A"/>
    <w:rsid w:val="00EF0382"/>
    <w:rsid w:val="00F027D9"/>
    <w:rsid w:val="00F02F7B"/>
    <w:rsid w:val="00F06511"/>
    <w:rsid w:val="00F06A53"/>
    <w:rsid w:val="00F071A4"/>
    <w:rsid w:val="00F86C39"/>
    <w:rsid w:val="00F95677"/>
    <w:rsid w:val="00FA3BE8"/>
    <w:rsid w:val="00FB1EC0"/>
    <w:rsid w:val="00FC3704"/>
    <w:rsid w:val="00FC5D5C"/>
    <w:rsid w:val="00FD06E0"/>
    <w:rsid w:val="00FF06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6ED50-0BED-4C44-83D0-E273C611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6655"/>
    <w:rPr>
      <w:color w:val="0563C1" w:themeColor="hyperlink"/>
      <w:u w:val="single"/>
    </w:rPr>
  </w:style>
  <w:style w:type="paragraph" w:styleId="Prrafodelista">
    <w:name w:val="List Paragraph"/>
    <w:basedOn w:val="Normal"/>
    <w:uiPriority w:val="34"/>
    <w:qFormat/>
    <w:rsid w:val="00D7081F"/>
    <w:pPr>
      <w:ind w:left="720"/>
      <w:contextualSpacing/>
    </w:pPr>
  </w:style>
  <w:style w:type="paragraph" w:styleId="Sinespaciado">
    <w:name w:val="No Spacing"/>
    <w:uiPriority w:val="1"/>
    <w:qFormat/>
    <w:rsid w:val="00D7081F"/>
    <w:pPr>
      <w:spacing w:after="0" w:line="240" w:lineRule="auto"/>
    </w:pPr>
  </w:style>
  <w:style w:type="paragraph" w:styleId="Encabezado">
    <w:name w:val="header"/>
    <w:basedOn w:val="Normal"/>
    <w:link w:val="EncabezadoCar"/>
    <w:uiPriority w:val="99"/>
    <w:unhideWhenUsed/>
    <w:rsid w:val="00FA3B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3BE8"/>
  </w:style>
  <w:style w:type="paragraph" w:styleId="Piedepgina">
    <w:name w:val="footer"/>
    <w:basedOn w:val="Normal"/>
    <w:link w:val="PiedepginaCar"/>
    <w:uiPriority w:val="99"/>
    <w:unhideWhenUsed/>
    <w:rsid w:val="00FA3B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BE8"/>
  </w:style>
  <w:style w:type="paragraph" w:styleId="Textodeglobo">
    <w:name w:val="Balloon Text"/>
    <w:basedOn w:val="Normal"/>
    <w:link w:val="TextodegloboCar"/>
    <w:uiPriority w:val="99"/>
    <w:semiHidden/>
    <w:unhideWhenUsed/>
    <w:rsid w:val="00594F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F22"/>
    <w:rPr>
      <w:rFonts w:ascii="Segoe UI" w:hAnsi="Segoe UI" w:cs="Segoe UI"/>
      <w:sz w:val="18"/>
      <w:szCs w:val="18"/>
    </w:rPr>
  </w:style>
  <w:style w:type="character" w:styleId="Textoennegrita">
    <w:name w:val="Strong"/>
    <w:basedOn w:val="Fuentedeprrafopredeter"/>
    <w:uiPriority w:val="22"/>
    <w:qFormat/>
    <w:rsid w:val="00072167"/>
    <w:rPr>
      <w:b/>
      <w:bCs/>
    </w:rPr>
  </w:style>
  <w:style w:type="table" w:styleId="Tablaconcuadrcula">
    <w:name w:val="Table Grid"/>
    <w:basedOn w:val="Tablanormal"/>
    <w:uiPriority w:val="39"/>
    <w:rsid w:val="002B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30810"/>
    <w:pPr>
      <w:spacing w:after="0" w:line="240" w:lineRule="auto"/>
    </w:pPr>
    <w:rPr>
      <w:rFonts w:eastAsiaTheme="minorEastAsia"/>
      <w:sz w:val="24"/>
      <w:szCs w:val="24"/>
      <w:lang w:val="es-ES_tradnl"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263">
      <w:bodyDiv w:val="1"/>
      <w:marLeft w:val="0"/>
      <w:marRight w:val="0"/>
      <w:marTop w:val="0"/>
      <w:marBottom w:val="0"/>
      <w:divBdr>
        <w:top w:val="none" w:sz="0" w:space="0" w:color="auto"/>
        <w:left w:val="none" w:sz="0" w:space="0" w:color="auto"/>
        <w:bottom w:val="none" w:sz="0" w:space="0" w:color="auto"/>
        <w:right w:val="none" w:sz="0" w:space="0" w:color="auto"/>
      </w:divBdr>
    </w:div>
    <w:div w:id="69231173">
      <w:bodyDiv w:val="1"/>
      <w:marLeft w:val="0"/>
      <w:marRight w:val="0"/>
      <w:marTop w:val="0"/>
      <w:marBottom w:val="0"/>
      <w:divBdr>
        <w:top w:val="none" w:sz="0" w:space="0" w:color="auto"/>
        <w:left w:val="none" w:sz="0" w:space="0" w:color="auto"/>
        <w:bottom w:val="none" w:sz="0" w:space="0" w:color="auto"/>
        <w:right w:val="none" w:sz="0" w:space="0" w:color="auto"/>
      </w:divBdr>
    </w:div>
    <w:div w:id="227688824">
      <w:bodyDiv w:val="1"/>
      <w:marLeft w:val="0"/>
      <w:marRight w:val="0"/>
      <w:marTop w:val="0"/>
      <w:marBottom w:val="0"/>
      <w:divBdr>
        <w:top w:val="none" w:sz="0" w:space="0" w:color="auto"/>
        <w:left w:val="none" w:sz="0" w:space="0" w:color="auto"/>
        <w:bottom w:val="none" w:sz="0" w:space="0" w:color="auto"/>
        <w:right w:val="none" w:sz="0" w:space="0" w:color="auto"/>
      </w:divBdr>
    </w:div>
    <w:div w:id="429932974">
      <w:bodyDiv w:val="1"/>
      <w:marLeft w:val="0"/>
      <w:marRight w:val="0"/>
      <w:marTop w:val="0"/>
      <w:marBottom w:val="0"/>
      <w:divBdr>
        <w:top w:val="none" w:sz="0" w:space="0" w:color="auto"/>
        <w:left w:val="none" w:sz="0" w:space="0" w:color="auto"/>
        <w:bottom w:val="none" w:sz="0" w:space="0" w:color="auto"/>
        <w:right w:val="none" w:sz="0" w:space="0" w:color="auto"/>
      </w:divBdr>
    </w:div>
    <w:div w:id="798449196">
      <w:bodyDiv w:val="1"/>
      <w:marLeft w:val="0"/>
      <w:marRight w:val="0"/>
      <w:marTop w:val="0"/>
      <w:marBottom w:val="0"/>
      <w:divBdr>
        <w:top w:val="none" w:sz="0" w:space="0" w:color="auto"/>
        <w:left w:val="none" w:sz="0" w:space="0" w:color="auto"/>
        <w:bottom w:val="none" w:sz="0" w:space="0" w:color="auto"/>
        <w:right w:val="none" w:sz="0" w:space="0" w:color="auto"/>
      </w:divBdr>
    </w:div>
    <w:div w:id="864902316">
      <w:bodyDiv w:val="1"/>
      <w:marLeft w:val="0"/>
      <w:marRight w:val="0"/>
      <w:marTop w:val="0"/>
      <w:marBottom w:val="0"/>
      <w:divBdr>
        <w:top w:val="none" w:sz="0" w:space="0" w:color="auto"/>
        <w:left w:val="none" w:sz="0" w:space="0" w:color="auto"/>
        <w:bottom w:val="none" w:sz="0" w:space="0" w:color="auto"/>
        <w:right w:val="none" w:sz="0" w:space="0" w:color="auto"/>
      </w:divBdr>
    </w:div>
    <w:div w:id="1398045023">
      <w:bodyDiv w:val="1"/>
      <w:marLeft w:val="0"/>
      <w:marRight w:val="0"/>
      <w:marTop w:val="0"/>
      <w:marBottom w:val="0"/>
      <w:divBdr>
        <w:top w:val="none" w:sz="0" w:space="0" w:color="auto"/>
        <w:left w:val="none" w:sz="0" w:space="0" w:color="auto"/>
        <w:bottom w:val="none" w:sz="0" w:space="0" w:color="auto"/>
        <w:right w:val="none" w:sz="0" w:space="0" w:color="auto"/>
      </w:divBdr>
    </w:div>
    <w:div w:id="21016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037AA-BCC2-477C-821F-028653025620}"/>
</file>

<file path=customXml/itemProps2.xml><?xml version="1.0" encoding="utf-8"?>
<ds:datastoreItem xmlns:ds="http://schemas.openxmlformats.org/officeDocument/2006/customXml" ds:itemID="{D28F0901-04EA-4616-BF7D-7DCBF7F44D55}"/>
</file>

<file path=customXml/itemProps3.xml><?xml version="1.0" encoding="utf-8"?>
<ds:datastoreItem xmlns:ds="http://schemas.openxmlformats.org/officeDocument/2006/customXml" ds:itemID="{6AE8383C-1FE5-4D1E-9247-85283B4C7D57}"/>
</file>

<file path=customXml/itemProps4.xml><?xml version="1.0" encoding="utf-8"?>
<ds:datastoreItem xmlns:ds="http://schemas.openxmlformats.org/officeDocument/2006/customXml" ds:itemID="{F0579DDC-9FD8-4A42-B706-48931E1F6DD4}"/>
</file>

<file path=docProps/app.xml><?xml version="1.0" encoding="utf-8"?>
<Properties xmlns="http://schemas.openxmlformats.org/officeDocument/2006/extended-properties" xmlns:vt="http://schemas.openxmlformats.org/officeDocument/2006/docPropsVTypes">
  <Template>Normal</Template>
  <TotalTime>1906</TotalTime>
  <Pages>11</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Marcela Perez Ibanez</dc:creator>
  <cp:keywords/>
  <dc:description/>
  <cp:lastModifiedBy>Maria Teresa Molina Villalobos</cp:lastModifiedBy>
  <cp:revision>36</cp:revision>
  <cp:lastPrinted>2017-12-13T15:40:00Z</cp:lastPrinted>
  <dcterms:created xsi:type="dcterms:W3CDTF">2017-10-03T21:37:00Z</dcterms:created>
  <dcterms:modified xsi:type="dcterms:W3CDTF">2018-02-19T19:44:00Z</dcterms:modified>
</cp:coreProperties>
</file>