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1A24" w14:textId="77777777" w:rsidR="00E23A36" w:rsidRDefault="006C182E" w:rsidP="002D3765">
      <w:pPr>
        <w:spacing w:line="276" w:lineRule="auto"/>
        <w:jc w:val="both"/>
        <w:rPr>
          <w:b/>
          <w:bCs/>
          <w:lang w:val="es-ES"/>
        </w:rPr>
      </w:pPr>
      <w:r w:rsidRPr="006C182E">
        <w:rPr>
          <w:b/>
          <w:bCs/>
          <w:lang w:val="es-ES"/>
        </w:rPr>
        <w:t xml:space="preserve">Preguntas sobre Rendición de Cuentas: </w:t>
      </w:r>
    </w:p>
    <w:p w14:paraId="2EAD9711" w14:textId="77777777" w:rsidR="002D3765" w:rsidRDefault="002D3765" w:rsidP="002D3765">
      <w:pPr>
        <w:spacing w:line="276" w:lineRule="auto"/>
        <w:jc w:val="both"/>
        <w:rPr>
          <w:rFonts w:ascii="Arial" w:hAnsi="Arial" w:cs="Arial"/>
          <w:color w:val="202124"/>
          <w:shd w:val="clear" w:color="auto" w:fill="FFFFFF"/>
        </w:rPr>
      </w:pPr>
    </w:p>
    <w:p w14:paraId="548945A9" w14:textId="77777777" w:rsidR="002D3765" w:rsidRDefault="002D3765" w:rsidP="002D3765">
      <w:pPr>
        <w:spacing w:line="276" w:lineRule="auto"/>
        <w:jc w:val="both"/>
        <w:rPr>
          <w:rFonts w:ascii="Arial" w:hAnsi="Arial" w:cs="Arial"/>
          <w:color w:val="202124"/>
          <w:shd w:val="clear" w:color="auto" w:fill="FFFFFF"/>
        </w:rPr>
      </w:pPr>
    </w:p>
    <w:p w14:paraId="3142401C" w14:textId="77777777" w:rsidR="002D3765" w:rsidRPr="00160303" w:rsidRDefault="002D3765" w:rsidP="00160303">
      <w:pPr>
        <w:pStyle w:val="Prrafodelista"/>
        <w:numPr>
          <w:ilvl w:val="0"/>
          <w:numId w:val="1"/>
        </w:numPr>
        <w:shd w:val="clear" w:color="auto" w:fill="FFFFFF"/>
        <w:jc w:val="both"/>
        <w:rPr>
          <w:rFonts w:ascii="Arial" w:hAnsi="Arial" w:cs="Arial"/>
          <w:b/>
          <w:bCs/>
          <w:color w:val="202124"/>
          <w:shd w:val="clear" w:color="auto" w:fill="FFFFFF"/>
        </w:rPr>
      </w:pPr>
      <w:r w:rsidRPr="00160303">
        <w:rPr>
          <w:rFonts w:ascii="Arial" w:hAnsi="Arial" w:cs="Arial"/>
          <w:b/>
          <w:bCs/>
          <w:color w:val="202124"/>
          <w:shd w:val="clear" w:color="auto" w:fill="FFFFFF"/>
        </w:rPr>
        <w:t>¿Cuál es la periodicidad de la rendir cuentas?</w:t>
      </w:r>
    </w:p>
    <w:p w14:paraId="55A2323C" w14:textId="77777777" w:rsidR="002D3765" w:rsidRDefault="002D3765" w:rsidP="002D3765">
      <w:pPr>
        <w:spacing w:line="276" w:lineRule="auto"/>
        <w:jc w:val="both"/>
        <w:rPr>
          <w:rFonts w:ascii="Arial" w:hAnsi="Arial" w:cs="Arial"/>
          <w:color w:val="202124"/>
          <w:shd w:val="clear" w:color="auto" w:fill="FFFFFF"/>
        </w:rPr>
      </w:pPr>
    </w:p>
    <w:p w14:paraId="4A6E0D40" w14:textId="77777777" w:rsidR="002D3765" w:rsidRPr="002D3765" w:rsidRDefault="002D3765" w:rsidP="00870FB2">
      <w:pPr>
        <w:spacing w:line="276" w:lineRule="auto"/>
        <w:jc w:val="both"/>
        <w:rPr>
          <w:rFonts w:ascii="Arial" w:hAnsi="Arial" w:cs="Arial"/>
          <w:color w:val="202124"/>
          <w:shd w:val="clear" w:color="auto" w:fill="FFFFFF"/>
        </w:rPr>
      </w:pPr>
      <w:r w:rsidRPr="002D3765">
        <w:rPr>
          <w:rFonts w:ascii="Arial" w:hAnsi="Arial" w:cs="Arial"/>
          <w:color w:val="202124"/>
          <w:shd w:val="clear" w:color="auto" w:fill="FFFFFF"/>
        </w:rPr>
        <w:t>La rendición de cuentas fue establecida en la Ley 1757 de 2015 “Estatuto de Participación Ciudadana”, como una obligación permanente tanto de entidades como de los servidores públicos durante todas las etapas de la gestión pública, por ello, todo el año, en cada vigencia, deben existir actividades de rendición de cuentas.</w:t>
      </w:r>
      <w:r w:rsidR="00870FB2">
        <w:rPr>
          <w:rFonts w:ascii="Arial" w:hAnsi="Arial" w:cs="Arial"/>
          <w:color w:val="202124"/>
          <w:shd w:val="clear" w:color="auto" w:fill="FFFFFF"/>
        </w:rPr>
        <w:t xml:space="preserve"> Las </w:t>
      </w:r>
      <w:r w:rsidRPr="002D3765">
        <w:rPr>
          <w:rFonts w:ascii="Arial" w:hAnsi="Arial" w:cs="Arial"/>
          <w:color w:val="202124"/>
          <w:shd w:val="clear" w:color="auto" w:fill="FFFFFF"/>
        </w:rPr>
        <w:t>autoridades de la administración pública nacional y territorial tienen la obligación de rendir cuentas ante la ciudadanía para informar y explicar la gestión realizada, los resultados de sus planes de acción y el avance en la garantía de derechos.</w:t>
      </w:r>
    </w:p>
    <w:p w14:paraId="7AFF27D7" w14:textId="77777777" w:rsidR="002D3765" w:rsidRDefault="002D3765" w:rsidP="002D3765">
      <w:pPr>
        <w:spacing w:line="276" w:lineRule="auto"/>
        <w:jc w:val="both"/>
        <w:rPr>
          <w:rFonts w:ascii="Arial" w:hAnsi="Arial" w:cs="Arial"/>
          <w:color w:val="202124"/>
          <w:shd w:val="clear" w:color="auto" w:fill="FFFFFF"/>
        </w:rPr>
      </w:pPr>
    </w:p>
    <w:p w14:paraId="29A849E9" w14:textId="77777777" w:rsidR="002D3765" w:rsidRDefault="002D3765" w:rsidP="002D3765">
      <w:pPr>
        <w:tabs>
          <w:tab w:val="left" w:pos="1889"/>
        </w:tabs>
        <w:spacing w:line="276" w:lineRule="auto"/>
        <w:jc w:val="both"/>
        <w:rPr>
          <w:rFonts w:ascii="Arial" w:hAnsi="Arial" w:cs="Arial"/>
          <w:i/>
          <w:iCs/>
          <w:color w:val="202124"/>
          <w:shd w:val="clear" w:color="auto" w:fill="FFFFFF"/>
        </w:rPr>
      </w:pPr>
      <w:r w:rsidRPr="002D3765">
        <w:rPr>
          <w:rFonts w:ascii="Arial" w:hAnsi="Arial" w:cs="Arial"/>
          <w:i/>
          <w:iCs/>
          <w:color w:val="202124"/>
          <w:shd w:val="clear" w:color="auto" w:fill="FFFFFF"/>
        </w:rPr>
        <w:t>Fuente: Ley 1757 de 2015, articulo 50.</w:t>
      </w:r>
    </w:p>
    <w:p w14:paraId="38282B37" w14:textId="77777777" w:rsidR="002D3765" w:rsidRPr="002D3765" w:rsidRDefault="002D3765" w:rsidP="002D3765">
      <w:pPr>
        <w:tabs>
          <w:tab w:val="left" w:pos="1889"/>
        </w:tabs>
        <w:spacing w:line="276" w:lineRule="auto"/>
        <w:jc w:val="both"/>
        <w:rPr>
          <w:rFonts w:ascii="Arial" w:hAnsi="Arial" w:cs="Arial"/>
          <w:color w:val="202124"/>
          <w:shd w:val="clear" w:color="auto" w:fill="FFFFFF"/>
        </w:rPr>
      </w:pPr>
    </w:p>
    <w:p w14:paraId="780E9FF7" w14:textId="77777777" w:rsidR="002D3765" w:rsidRPr="00160303" w:rsidRDefault="002D3765" w:rsidP="002D3765">
      <w:pPr>
        <w:pStyle w:val="Prrafodelista"/>
        <w:numPr>
          <w:ilvl w:val="0"/>
          <w:numId w:val="1"/>
        </w:numPr>
        <w:shd w:val="clear" w:color="auto" w:fill="FFFFFF"/>
        <w:jc w:val="both"/>
        <w:rPr>
          <w:rFonts w:ascii="Arial" w:hAnsi="Arial" w:cs="Arial"/>
          <w:b/>
          <w:bCs/>
          <w:color w:val="202124"/>
          <w:shd w:val="clear" w:color="auto" w:fill="FFFFFF"/>
        </w:rPr>
      </w:pPr>
      <w:r w:rsidRPr="00160303">
        <w:rPr>
          <w:rFonts w:ascii="Arial" w:hAnsi="Arial" w:cs="Arial"/>
          <w:b/>
          <w:bCs/>
          <w:color w:val="202124"/>
          <w:shd w:val="clear" w:color="auto" w:fill="FFFFFF"/>
        </w:rPr>
        <w:t>¿Cuáles son los espacios presenciales del elemento de di</w:t>
      </w:r>
      <w:r w:rsidR="00870FB2">
        <w:rPr>
          <w:rFonts w:ascii="Arial" w:hAnsi="Arial" w:cs="Arial"/>
          <w:b/>
          <w:bCs/>
          <w:color w:val="202124"/>
          <w:shd w:val="clear" w:color="auto" w:fill="FFFFFF"/>
        </w:rPr>
        <w:t>á</w:t>
      </w:r>
      <w:r w:rsidRPr="00160303">
        <w:rPr>
          <w:rFonts w:ascii="Arial" w:hAnsi="Arial" w:cs="Arial"/>
          <w:b/>
          <w:bCs/>
          <w:color w:val="202124"/>
          <w:shd w:val="clear" w:color="auto" w:fill="FFFFFF"/>
        </w:rPr>
        <w:t>logo?</w:t>
      </w:r>
    </w:p>
    <w:p w14:paraId="641BAF67" w14:textId="77777777" w:rsidR="003A7C8F" w:rsidRDefault="003A7C8F" w:rsidP="002D3765">
      <w:pPr>
        <w:shd w:val="clear" w:color="auto" w:fill="FFFFFF"/>
        <w:rPr>
          <w:rFonts w:ascii="Arial" w:hAnsi="Arial" w:cs="Arial"/>
          <w:color w:val="202124"/>
          <w:shd w:val="clear" w:color="auto" w:fill="FFFFFF"/>
        </w:rPr>
      </w:pPr>
    </w:p>
    <w:p w14:paraId="1524F92F" w14:textId="50292EF0" w:rsidR="002D3765" w:rsidRDefault="002D3765" w:rsidP="002D3765">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Para el proceso de Rendición de Cuentas, es necesario que la entidad establezca varios espacios de encuentro</w:t>
      </w:r>
      <w:r w:rsidR="0028044F">
        <w:rPr>
          <w:rFonts w:ascii="Arial" w:hAnsi="Arial" w:cs="Arial"/>
          <w:color w:val="202124"/>
          <w:shd w:val="clear" w:color="auto" w:fill="FFFFFF"/>
        </w:rPr>
        <w:t xml:space="preserve"> y</w:t>
      </w:r>
      <w:r w:rsidRPr="002D3765">
        <w:rPr>
          <w:rFonts w:ascii="Arial" w:hAnsi="Arial" w:cs="Arial"/>
          <w:color w:val="202124"/>
          <w:shd w:val="clear" w:color="auto" w:fill="FFFFFF"/>
        </w:rPr>
        <w:t xml:space="preserve"> reuniones presenciales, tales como:</w:t>
      </w:r>
    </w:p>
    <w:p w14:paraId="46782FBB" w14:textId="77777777" w:rsidR="00160303" w:rsidRDefault="00160303" w:rsidP="002D3765">
      <w:pPr>
        <w:shd w:val="clear" w:color="auto" w:fill="FFFFFF"/>
        <w:rPr>
          <w:rFonts w:ascii="Arial" w:hAnsi="Arial" w:cs="Arial"/>
          <w:color w:val="202124"/>
          <w:shd w:val="clear" w:color="auto" w:fill="FFFFFF"/>
        </w:rPr>
      </w:pPr>
    </w:p>
    <w:p w14:paraId="0BCBE07E"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a. Audiencia pública participativa integral y por temas</w:t>
      </w:r>
    </w:p>
    <w:p w14:paraId="27700729"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b. Foros ciudadanos participativos por proyectos, temas o servicios.</w:t>
      </w:r>
    </w:p>
    <w:p w14:paraId="0FCF6B04"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c. Mesas de trabajo o diálogo regionales o temáticas</w:t>
      </w:r>
    </w:p>
    <w:p w14:paraId="234937FF"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d. Reuniones zonales</w:t>
      </w:r>
    </w:p>
    <w:p w14:paraId="4AF5E650"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e. Ferias de la gestión</w:t>
      </w:r>
    </w:p>
    <w:p w14:paraId="56915923"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f. Grupo focal</w:t>
      </w:r>
    </w:p>
    <w:p w14:paraId="211577E5"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g. Encuentros regionales</w:t>
      </w:r>
    </w:p>
    <w:p w14:paraId="4FA56069"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h. Asambleas comunitarias</w:t>
      </w:r>
    </w:p>
    <w:p w14:paraId="16707C48"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i. Observatorios ciudadanos</w:t>
      </w:r>
    </w:p>
    <w:p w14:paraId="745C8B5A"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j. Entrevistas con los actores</w:t>
      </w:r>
    </w:p>
    <w:p w14:paraId="1D5AFA8D" w14:textId="77777777" w:rsidR="00160303" w:rsidRPr="002D3765" w:rsidRDefault="00160303" w:rsidP="00160303">
      <w:pPr>
        <w:shd w:val="clear" w:color="auto" w:fill="FFFFFF"/>
        <w:rPr>
          <w:rFonts w:ascii="Arial" w:hAnsi="Arial" w:cs="Arial"/>
          <w:color w:val="202124"/>
          <w:shd w:val="clear" w:color="auto" w:fill="FFFFFF"/>
        </w:rPr>
      </w:pPr>
      <w:r w:rsidRPr="002D3765">
        <w:rPr>
          <w:rFonts w:ascii="Arial" w:hAnsi="Arial" w:cs="Arial"/>
          <w:color w:val="202124"/>
          <w:shd w:val="clear" w:color="auto" w:fill="FFFFFF"/>
        </w:rPr>
        <w:t>k. Café conversacional</w:t>
      </w:r>
    </w:p>
    <w:p w14:paraId="464ABAA1" w14:textId="77777777" w:rsidR="00160303" w:rsidRDefault="00160303" w:rsidP="00160303">
      <w:pPr>
        <w:pStyle w:val="Prrafodelista"/>
        <w:tabs>
          <w:tab w:val="left" w:pos="1889"/>
        </w:tabs>
        <w:spacing w:line="276" w:lineRule="auto"/>
        <w:jc w:val="both"/>
        <w:rPr>
          <w:rFonts w:ascii="Arial" w:hAnsi="Arial" w:cs="Arial"/>
          <w:i/>
          <w:iCs/>
          <w:color w:val="202124"/>
          <w:shd w:val="clear" w:color="auto" w:fill="FFFFFF"/>
        </w:rPr>
      </w:pPr>
    </w:p>
    <w:p w14:paraId="3BE6904D" w14:textId="77777777" w:rsidR="00160303" w:rsidRPr="00160303" w:rsidRDefault="00160303" w:rsidP="00160303">
      <w:pPr>
        <w:pStyle w:val="Prrafodelista"/>
        <w:tabs>
          <w:tab w:val="left" w:pos="1889"/>
        </w:tabs>
        <w:spacing w:line="276" w:lineRule="auto"/>
        <w:jc w:val="both"/>
        <w:rPr>
          <w:rFonts w:ascii="Arial" w:hAnsi="Arial" w:cs="Arial"/>
          <w:i/>
          <w:iCs/>
          <w:color w:val="202124"/>
          <w:shd w:val="clear" w:color="auto" w:fill="FFFFFF"/>
        </w:rPr>
      </w:pPr>
      <w:r>
        <w:rPr>
          <w:rFonts w:ascii="Arial" w:hAnsi="Arial" w:cs="Arial"/>
          <w:i/>
          <w:iCs/>
          <w:color w:val="202124"/>
          <w:shd w:val="clear" w:color="auto" w:fill="FFFFFF"/>
        </w:rPr>
        <w:t>Fuente: Manual único de rendición de cuentas</w:t>
      </w:r>
    </w:p>
    <w:p w14:paraId="173A9D56" w14:textId="77777777" w:rsidR="00160303" w:rsidRPr="002D3765" w:rsidRDefault="00160303" w:rsidP="002D3765">
      <w:pPr>
        <w:shd w:val="clear" w:color="auto" w:fill="FFFFFF"/>
        <w:rPr>
          <w:rFonts w:ascii="Arial" w:hAnsi="Arial" w:cs="Arial"/>
          <w:color w:val="202124"/>
          <w:shd w:val="clear" w:color="auto" w:fill="FFFFFF"/>
        </w:rPr>
      </w:pPr>
    </w:p>
    <w:p w14:paraId="3EB2AB08" w14:textId="77777777" w:rsidR="00284DAA" w:rsidRPr="00284DAA" w:rsidRDefault="00160303" w:rsidP="00284DAA">
      <w:pPr>
        <w:pStyle w:val="NormalWeb"/>
        <w:numPr>
          <w:ilvl w:val="0"/>
          <w:numId w:val="1"/>
        </w:numPr>
        <w:shd w:val="clear" w:color="auto" w:fill="FFFFFF"/>
        <w:rPr>
          <w:rFonts w:ascii="Arial" w:eastAsiaTheme="minorHAnsi" w:hAnsi="Arial" w:cs="Arial"/>
          <w:b/>
          <w:bCs/>
          <w:color w:val="202124"/>
          <w:kern w:val="2"/>
          <w:shd w:val="clear" w:color="auto" w:fill="FFFFFF"/>
          <w:lang w:eastAsia="en-US"/>
          <w14:ligatures w14:val="standardContextual"/>
        </w:rPr>
      </w:pPr>
      <w:r w:rsidRPr="00160303">
        <w:rPr>
          <w:rFonts w:ascii="Arial" w:eastAsiaTheme="minorHAnsi" w:hAnsi="Arial" w:cs="Arial"/>
          <w:b/>
          <w:bCs/>
          <w:color w:val="202124"/>
          <w:kern w:val="2"/>
          <w:shd w:val="clear" w:color="auto" w:fill="FFFFFF"/>
          <w:lang w:eastAsia="en-US"/>
          <w14:ligatures w14:val="standardContextual"/>
        </w:rPr>
        <w:t>¿Qué es la Estrategia de rendición de cuentas?</w:t>
      </w:r>
    </w:p>
    <w:p w14:paraId="675833FC" w14:textId="77777777" w:rsidR="00284DAA" w:rsidRDefault="00284DAA" w:rsidP="00160303">
      <w:pPr>
        <w:pStyle w:val="NormalWeb"/>
        <w:shd w:val="clear" w:color="auto" w:fill="FFFFFF"/>
        <w:jc w:val="both"/>
        <w:rPr>
          <w:rFonts w:ascii="Arial" w:eastAsiaTheme="minorHAnsi" w:hAnsi="Arial" w:cs="Arial"/>
          <w:color w:val="202124"/>
          <w:kern w:val="2"/>
          <w:shd w:val="clear" w:color="auto" w:fill="FFFFFF"/>
          <w:lang w:eastAsia="en-US"/>
          <w14:ligatures w14:val="standardContextual"/>
        </w:rPr>
      </w:pPr>
      <w:r>
        <w:rPr>
          <w:rFonts w:ascii="Arial" w:eastAsiaTheme="minorHAnsi" w:hAnsi="Arial" w:cs="Arial"/>
          <w:color w:val="202124"/>
          <w:kern w:val="2"/>
          <w:shd w:val="clear" w:color="auto" w:fill="FFFFFF"/>
          <w:lang w:eastAsia="en-US"/>
          <w14:ligatures w14:val="standardContextual"/>
        </w:rPr>
        <w:t>E</w:t>
      </w:r>
      <w:r w:rsidRPr="00284DAA">
        <w:rPr>
          <w:rFonts w:ascii="Arial" w:eastAsiaTheme="minorHAnsi" w:hAnsi="Arial" w:cs="Arial"/>
          <w:color w:val="202124"/>
          <w:kern w:val="2"/>
          <w:shd w:val="clear" w:color="auto" w:fill="FFFFFF"/>
          <w:lang w:eastAsia="en-US"/>
          <w14:ligatures w14:val="standardContextual"/>
        </w:rPr>
        <w:t xml:space="preserve">s un conjunto de acciones para asegurar que las instituciones, </w:t>
      </w:r>
      <w:r>
        <w:rPr>
          <w:rFonts w:ascii="Arial" w:eastAsiaTheme="minorHAnsi" w:hAnsi="Arial" w:cs="Arial"/>
          <w:color w:val="202124"/>
          <w:kern w:val="2"/>
          <w:shd w:val="clear" w:color="auto" w:fill="FFFFFF"/>
          <w:lang w:eastAsia="en-US"/>
          <w14:ligatures w14:val="standardContextual"/>
        </w:rPr>
        <w:t xml:space="preserve">presenten los resultados a la ciudadanía, </w:t>
      </w:r>
      <w:r w:rsidRPr="00284DAA">
        <w:rPr>
          <w:rFonts w:ascii="Arial" w:eastAsiaTheme="minorHAnsi" w:hAnsi="Arial" w:cs="Arial"/>
          <w:color w:val="202124"/>
          <w:kern w:val="2"/>
          <w:shd w:val="clear" w:color="auto" w:fill="FFFFFF"/>
          <w:lang w:eastAsia="en-US"/>
          <w14:ligatures w14:val="standardContextual"/>
        </w:rPr>
        <w:t>sean responsables y transparentes en sus acciones y decisiones, y que rindan cuentas ante sus partes interesadas</w:t>
      </w:r>
      <w:r>
        <w:rPr>
          <w:rFonts w:ascii="Arial" w:eastAsiaTheme="minorHAnsi" w:hAnsi="Arial" w:cs="Arial"/>
          <w:color w:val="202124"/>
          <w:kern w:val="2"/>
          <w:shd w:val="clear" w:color="auto" w:fill="FFFFFF"/>
          <w:lang w:eastAsia="en-US"/>
          <w14:ligatures w14:val="standardContextual"/>
        </w:rPr>
        <w:t xml:space="preserve"> </w:t>
      </w:r>
      <w:r w:rsidRPr="00160303">
        <w:rPr>
          <w:rFonts w:ascii="Arial" w:eastAsiaTheme="minorHAnsi" w:hAnsi="Arial" w:cs="Arial"/>
          <w:color w:val="202124"/>
          <w:kern w:val="2"/>
          <w:shd w:val="clear" w:color="auto" w:fill="FFFFFF"/>
          <w:lang w:eastAsia="en-US"/>
          <w14:ligatures w14:val="standardContextual"/>
        </w:rPr>
        <w:t>cumpliendo con los lineamientos del Manual Único de Rendición de Cuentas</w:t>
      </w:r>
    </w:p>
    <w:p w14:paraId="3DCF41D5" w14:textId="77777777" w:rsidR="00BD1C5F" w:rsidRPr="0080010F" w:rsidRDefault="00160303" w:rsidP="0080010F">
      <w:pPr>
        <w:tabs>
          <w:tab w:val="left" w:pos="1889"/>
        </w:tabs>
        <w:spacing w:line="276" w:lineRule="auto"/>
        <w:jc w:val="both"/>
        <w:rPr>
          <w:rFonts w:ascii="Arial" w:hAnsi="Arial" w:cs="Arial"/>
          <w:i/>
          <w:iCs/>
          <w:color w:val="202124"/>
          <w:shd w:val="clear" w:color="auto" w:fill="FFFFFF"/>
        </w:rPr>
      </w:pPr>
      <w:r w:rsidRPr="002D3765">
        <w:rPr>
          <w:rFonts w:ascii="Arial" w:hAnsi="Arial" w:cs="Arial"/>
          <w:i/>
          <w:iCs/>
          <w:color w:val="202124"/>
          <w:shd w:val="clear" w:color="auto" w:fill="FFFFFF"/>
        </w:rPr>
        <w:t xml:space="preserve">Fuente: Ley 1757 de 2015, articulo </w:t>
      </w:r>
      <w:r>
        <w:rPr>
          <w:rFonts w:ascii="Arial" w:hAnsi="Arial" w:cs="Arial"/>
          <w:i/>
          <w:iCs/>
          <w:color w:val="202124"/>
          <w:shd w:val="clear" w:color="auto" w:fill="FFFFFF"/>
        </w:rPr>
        <w:t>49.</w:t>
      </w:r>
    </w:p>
    <w:p w14:paraId="531D68D0" w14:textId="77777777" w:rsidR="00BD1C5F" w:rsidRDefault="00BD1C5F" w:rsidP="002D3765">
      <w:pPr>
        <w:pStyle w:val="Prrafodelista"/>
        <w:tabs>
          <w:tab w:val="left" w:pos="1889"/>
        </w:tabs>
        <w:spacing w:line="276" w:lineRule="auto"/>
        <w:jc w:val="both"/>
        <w:rPr>
          <w:rFonts w:ascii="Arial" w:hAnsi="Arial" w:cs="Arial"/>
          <w:i/>
          <w:iCs/>
          <w:color w:val="202124"/>
          <w:shd w:val="clear" w:color="auto" w:fill="FFFFFF"/>
        </w:rPr>
      </w:pPr>
    </w:p>
    <w:p w14:paraId="2A4AC4A3" w14:textId="77777777" w:rsidR="00BD1C5F" w:rsidRPr="00160303" w:rsidRDefault="00BD1C5F" w:rsidP="00BD1C5F">
      <w:pPr>
        <w:pStyle w:val="Prrafodelista"/>
        <w:numPr>
          <w:ilvl w:val="0"/>
          <w:numId w:val="1"/>
        </w:numPr>
        <w:shd w:val="clear" w:color="auto" w:fill="FFFFFF"/>
        <w:jc w:val="both"/>
        <w:rPr>
          <w:rFonts w:ascii="Arial" w:hAnsi="Arial" w:cs="Arial"/>
          <w:b/>
          <w:bCs/>
          <w:color w:val="202124"/>
          <w:shd w:val="clear" w:color="auto" w:fill="FFFFFF"/>
        </w:rPr>
      </w:pPr>
      <w:r w:rsidRPr="00160303">
        <w:rPr>
          <w:rFonts w:ascii="Arial" w:hAnsi="Arial" w:cs="Arial"/>
          <w:b/>
          <w:bCs/>
          <w:color w:val="202124"/>
          <w:shd w:val="clear" w:color="auto" w:fill="FFFFFF"/>
        </w:rPr>
        <w:t>¿Qué es la rendición de cuentas?</w:t>
      </w:r>
    </w:p>
    <w:p w14:paraId="11666939" w14:textId="77777777" w:rsidR="0080010F" w:rsidRDefault="0080010F" w:rsidP="00BD1C5F">
      <w:pPr>
        <w:shd w:val="clear" w:color="auto" w:fill="FFFFFF"/>
        <w:spacing w:after="276"/>
        <w:jc w:val="both"/>
        <w:rPr>
          <w:rFonts w:ascii="Arial" w:hAnsi="Arial" w:cs="Arial"/>
          <w:color w:val="202124"/>
          <w:shd w:val="clear" w:color="auto" w:fill="FFFFFF"/>
        </w:rPr>
      </w:pPr>
    </w:p>
    <w:p w14:paraId="20DF788A" w14:textId="77777777" w:rsidR="0080010F" w:rsidRPr="00BD1C5F" w:rsidRDefault="0080010F" w:rsidP="00BD1C5F">
      <w:pPr>
        <w:shd w:val="clear" w:color="auto" w:fill="FFFFFF"/>
        <w:spacing w:after="276"/>
        <w:jc w:val="both"/>
        <w:rPr>
          <w:rFonts w:ascii="Arial" w:hAnsi="Arial" w:cs="Arial"/>
          <w:color w:val="202124"/>
          <w:shd w:val="clear" w:color="auto" w:fill="FFFFFF"/>
        </w:rPr>
      </w:pPr>
      <w:r>
        <w:rPr>
          <w:rFonts w:ascii="Arial" w:hAnsi="Arial" w:cs="Arial"/>
          <w:color w:val="202124"/>
          <w:shd w:val="clear" w:color="auto" w:fill="FFFFFF"/>
        </w:rPr>
        <w:t>Es un</w:t>
      </w:r>
      <w:r w:rsidRPr="00BD1C5F">
        <w:rPr>
          <w:rFonts w:ascii="Arial" w:hAnsi="Arial" w:cs="Arial"/>
          <w:color w:val="202124"/>
          <w:shd w:val="clear" w:color="auto" w:fill="FFFFFF"/>
        </w:rPr>
        <w:t xml:space="preserve">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w:t>
      </w:r>
      <w:r>
        <w:rPr>
          <w:rFonts w:ascii="Arial" w:hAnsi="Arial" w:cs="Arial"/>
          <w:color w:val="202124"/>
          <w:shd w:val="clear" w:color="auto" w:fill="FFFFFF"/>
        </w:rPr>
        <w:t>.</w:t>
      </w:r>
    </w:p>
    <w:p w14:paraId="38200EE4" w14:textId="77777777" w:rsidR="00160303" w:rsidRDefault="00160303" w:rsidP="00160303">
      <w:pPr>
        <w:tabs>
          <w:tab w:val="left" w:pos="1889"/>
        </w:tabs>
        <w:spacing w:line="276" w:lineRule="auto"/>
        <w:jc w:val="both"/>
        <w:rPr>
          <w:rFonts w:ascii="Arial" w:hAnsi="Arial" w:cs="Arial"/>
          <w:i/>
          <w:iCs/>
          <w:color w:val="202124"/>
          <w:shd w:val="clear" w:color="auto" w:fill="FFFFFF"/>
        </w:rPr>
      </w:pPr>
      <w:r w:rsidRPr="002D3765">
        <w:rPr>
          <w:rFonts w:ascii="Arial" w:hAnsi="Arial" w:cs="Arial"/>
          <w:i/>
          <w:iCs/>
          <w:color w:val="202124"/>
          <w:shd w:val="clear" w:color="auto" w:fill="FFFFFF"/>
        </w:rPr>
        <w:t xml:space="preserve">Fuente: Ley 1757 de 2015, articulo </w:t>
      </w:r>
      <w:r>
        <w:rPr>
          <w:rFonts w:ascii="Arial" w:hAnsi="Arial" w:cs="Arial"/>
          <w:i/>
          <w:iCs/>
          <w:color w:val="202124"/>
          <w:shd w:val="clear" w:color="auto" w:fill="FFFFFF"/>
        </w:rPr>
        <w:t>48.</w:t>
      </w:r>
    </w:p>
    <w:p w14:paraId="40E8029E" w14:textId="77777777" w:rsidR="00160303" w:rsidRPr="00BD1C5F" w:rsidRDefault="00160303" w:rsidP="00BD1C5F">
      <w:pPr>
        <w:shd w:val="clear" w:color="auto" w:fill="FFFFFF"/>
        <w:spacing w:after="276"/>
        <w:jc w:val="both"/>
        <w:rPr>
          <w:rFonts w:ascii="Arial" w:hAnsi="Arial" w:cs="Arial"/>
          <w:color w:val="202124"/>
          <w:shd w:val="clear" w:color="auto" w:fill="FFFFFF"/>
        </w:rPr>
      </w:pPr>
    </w:p>
    <w:p w14:paraId="1FB92D4F" w14:textId="77777777" w:rsidR="00695519" w:rsidRPr="00FA6B43" w:rsidRDefault="00695519" w:rsidP="00695519">
      <w:pPr>
        <w:pStyle w:val="Prrafodelista"/>
        <w:numPr>
          <w:ilvl w:val="0"/>
          <w:numId w:val="1"/>
        </w:numPr>
        <w:shd w:val="clear" w:color="auto" w:fill="FFFFFF"/>
        <w:jc w:val="both"/>
        <w:rPr>
          <w:rFonts w:ascii="Arial" w:hAnsi="Arial" w:cs="Arial"/>
          <w:b/>
          <w:bCs/>
          <w:color w:val="202124"/>
          <w:shd w:val="clear" w:color="auto" w:fill="FFFFFF"/>
        </w:rPr>
      </w:pPr>
      <w:r w:rsidRPr="00FA6B43">
        <w:rPr>
          <w:rFonts w:ascii="Arial" w:hAnsi="Arial" w:cs="Arial"/>
          <w:b/>
          <w:bCs/>
          <w:color w:val="202124"/>
          <w:shd w:val="clear" w:color="auto" w:fill="FFFFFF"/>
        </w:rPr>
        <w:t>¿Qué son las Audiencias Públicas Participativas?</w:t>
      </w:r>
    </w:p>
    <w:p w14:paraId="1E0BF53C" w14:textId="77777777" w:rsidR="00695519" w:rsidRPr="00695519" w:rsidRDefault="00695519" w:rsidP="00695519">
      <w:pPr>
        <w:shd w:val="clear" w:color="auto" w:fill="FFFFFF"/>
        <w:jc w:val="both"/>
        <w:rPr>
          <w:rFonts w:ascii="Arial" w:hAnsi="Arial" w:cs="Arial"/>
          <w:color w:val="202124"/>
          <w:shd w:val="clear" w:color="auto" w:fill="FFFFFF"/>
        </w:rPr>
      </w:pPr>
    </w:p>
    <w:p w14:paraId="4BCBC7DA" w14:textId="77777777" w:rsidR="00695519" w:rsidRPr="00695519" w:rsidRDefault="00695519" w:rsidP="00695519">
      <w:pPr>
        <w:shd w:val="clear" w:color="auto" w:fill="FFFFFF"/>
        <w:spacing w:after="276"/>
        <w:jc w:val="both"/>
        <w:rPr>
          <w:rFonts w:ascii="Arial" w:hAnsi="Arial" w:cs="Arial"/>
          <w:color w:val="202124"/>
          <w:shd w:val="clear" w:color="auto" w:fill="FFFFFF"/>
        </w:rPr>
      </w:pPr>
      <w:r w:rsidRPr="00695519">
        <w:rPr>
          <w:rFonts w:ascii="Arial" w:hAnsi="Arial" w:cs="Arial"/>
          <w:color w:val="202124"/>
          <w:shd w:val="clear" w:color="auto" w:fill="FFFFFF"/>
        </w:rPr>
        <w:t>De acuerdo a lo señalado en el artículo 55 de la Ley 1757 de 2015 “Estatuto de Participación Ciudadana”, las audiencias públicas participativas son un mecanismo de rendición de cuentas, así mismo son un acto público convocado y organizado por las entidades de la administración para evaluar la gestión realizada y sus resultados con la intervención de ciudadanos y organizaciones sociales.</w:t>
      </w:r>
    </w:p>
    <w:p w14:paraId="63BED3DB" w14:textId="77777777" w:rsidR="00BD1C5F" w:rsidRPr="00BD1C5F" w:rsidRDefault="00BD1C5F" w:rsidP="00BD1C5F">
      <w:pPr>
        <w:rPr>
          <w:rFonts w:ascii="Times New Roman" w:eastAsia="Times New Roman" w:hAnsi="Times New Roman" w:cs="Times New Roman"/>
          <w:kern w:val="0"/>
          <w:lang w:eastAsia="es-MX"/>
          <w14:ligatures w14:val="none"/>
        </w:rPr>
      </w:pPr>
    </w:p>
    <w:p w14:paraId="2AD25459" w14:textId="77777777" w:rsidR="00FA6B43" w:rsidRPr="00EF6B92" w:rsidRDefault="00160303" w:rsidP="00EF6B92">
      <w:pPr>
        <w:tabs>
          <w:tab w:val="left" w:pos="1889"/>
        </w:tabs>
        <w:spacing w:line="276" w:lineRule="auto"/>
        <w:jc w:val="both"/>
        <w:rPr>
          <w:rFonts w:ascii="Arial" w:hAnsi="Arial" w:cs="Arial"/>
          <w:i/>
          <w:iCs/>
          <w:color w:val="202124"/>
          <w:shd w:val="clear" w:color="auto" w:fill="FFFFFF"/>
        </w:rPr>
      </w:pPr>
      <w:r w:rsidRPr="002D3765">
        <w:rPr>
          <w:rFonts w:ascii="Arial" w:hAnsi="Arial" w:cs="Arial"/>
          <w:i/>
          <w:iCs/>
          <w:color w:val="202124"/>
          <w:shd w:val="clear" w:color="auto" w:fill="FFFFFF"/>
        </w:rPr>
        <w:t xml:space="preserve">Fuente: Ley 1757 de 2015, articulo </w:t>
      </w:r>
      <w:r>
        <w:rPr>
          <w:rFonts w:ascii="Arial" w:hAnsi="Arial" w:cs="Arial"/>
          <w:i/>
          <w:iCs/>
          <w:color w:val="202124"/>
          <w:shd w:val="clear" w:color="auto" w:fill="FFFFFF"/>
        </w:rPr>
        <w:t>48.</w:t>
      </w:r>
    </w:p>
    <w:p w14:paraId="61FAA15D" w14:textId="77777777" w:rsidR="00FA6B43" w:rsidRDefault="00FA6B43" w:rsidP="002D3765">
      <w:pPr>
        <w:pStyle w:val="Prrafodelista"/>
        <w:tabs>
          <w:tab w:val="left" w:pos="1889"/>
        </w:tabs>
        <w:spacing w:line="276" w:lineRule="auto"/>
        <w:jc w:val="both"/>
        <w:rPr>
          <w:rFonts w:ascii="Arial" w:hAnsi="Arial" w:cs="Arial"/>
          <w:i/>
          <w:iCs/>
          <w:color w:val="202124"/>
          <w:shd w:val="clear" w:color="auto" w:fill="FFFFFF"/>
        </w:rPr>
      </w:pPr>
    </w:p>
    <w:p w14:paraId="670D4E1D" w14:textId="77777777" w:rsidR="00FA6B43" w:rsidRDefault="00FA6B43" w:rsidP="00FA6B43">
      <w:pPr>
        <w:pStyle w:val="Prrafodelista"/>
        <w:numPr>
          <w:ilvl w:val="0"/>
          <w:numId w:val="1"/>
        </w:numPr>
        <w:shd w:val="clear" w:color="auto" w:fill="FFFFFF"/>
        <w:jc w:val="both"/>
        <w:rPr>
          <w:rFonts w:ascii="Arial" w:hAnsi="Arial" w:cs="Arial"/>
          <w:i/>
          <w:iCs/>
          <w:color w:val="202124"/>
          <w:shd w:val="clear" w:color="auto" w:fill="FFFFFF"/>
        </w:rPr>
      </w:pPr>
      <w:r>
        <w:rPr>
          <w:rFonts w:ascii="Arial" w:hAnsi="Arial" w:cs="Arial"/>
          <w:i/>
          <w:iCs/>
          <w:color w:val="202124"/>
          <w:shd w:val="clear" w:color="auto" w:fill="FFFFFF"/>
        </w:rPr>
        <w:t>¿</w:t>
      </w:r>
      <w:r w:rsidRPr="00FA6B43">
        <w:rPr>
          <w:rFonts w:ascii="Arial" w:hAnsi="Arial" w:cs="Arial"/>
          <w:b/>
          <w:bCs/>
          <w:color w:val="202124"/>
          <w:shd w:val="clear" w:color="auto" w:fill="FFFFFF"/>
        </w:rPr>
        <w:t>Cuáles son los niveles de la rendición de cuentas</w:t>
      </w:r>
      <w:r>
        <w:rPr>
          <w:rFonts w:ascii="Arial" w:hAnsi="Arial" w:cs="Arial"/>
          <w:i/>
          <w:iCs/>
          <w:color w:val="202124"/>
          <w:shd w:val="clear" w:color="auto" w:fill="FFFFFF"/>
        </w:rPr>
        <w:t>?</w:t>
      </w:r>
    </w:p>
    <w:p w14:paraId="047AACDE" w14:textId="77777777" w:rsidR="00FA6B43" w:rsidRPr="00FA6B43" w:rsidRDefault="00FA6B43" w:rsidP="00FA6B43">
      <w:pPr>
        <w:shd w:val="clear" w:color="auto" w:fill="FFFFFF"/>
        <w:jc w:val="both"/>
        <w:rPr>
          <w:rFonts w:ascii="Arial" w:hAnsi="Arial" w:cs="Arial"/>
          <w:i/>
          <w:iCs/>
          <w:color w:val="202124"/>
          <w:shd w:val="clear" w:color="auto" w:fill="FFFFFF"/>
        </w:rPr>
      </w:pPr>
    </w:p>
    <w:p w14:paraId="71467D90" w14:textId="77777777" w:rsidR="00FA6B43" w:rsidRDefault="00FA6B43" w:rsidP="00FA6B43">
      <w:pPr>
        <w:tabs>
          <w:tab w:val="left" w:pos="1889"/>
        </w:tabs>
        <w:spacing w:line="276" w:lineRule="auto"/>
        <w:jc w:val="both"/>
        <w:rPr>
          <w:rFonts w:ascii="Arial" w:hAnsi="Arial" w:cs="Arial"/>
          <w:i/>
          <w:iCs/>
          <w:color w:val="202124"/>
          <w:shd w:val="clear" w:color="auto" w:fill="FFFFFF"/>
        </w:rPr>
      </w:pPr>
    </w:p>
    <w:p w14:paraId="384BF101" w14:textId="77777777" w:rsidR="00EF6B92" w:rsidRPr="00EF6B92" w:rsidRDefault="00EF6B92" w:rsidP="00EF6B92">
      <w:pPr>
        <w:tabs>
          <w:tab w:val="left" w:pos="1889"/>
        </w:tabs>
        <w:spacing w:line="276" w:lineRule="auto"/>
        <w:jc w:val="both"/>
        <w:rPr>
          <w:rFonts w:ascii="Arial" w:hAnsi="Arial" w:cs="Arial"/>
          <w:color w:val="202124"/>
          <w:shd w:val="clear" w:color="auto" w:fill="FFFFFF"/>
        </w:rPr>
      </w:pPr>
      <w:r w:rsidRPr="00EF6B92">
        <w:rPr>
          <w:rFonts w:ascii="Arial" w:hAnsi="Arial" w:cs="Arial"/>
          <w:color w:val="202124"/>
          <w:shd w:val="clear" w:color="auto" w:fill="FFFFFF"/>
        </w:rPr>
        <w:t>Nivel inicial: En este nivel, una entidad está comenzando a implementar un enfoque formal de rendición de cuentas. Puede implicar establecer políticas y procedimientos básicos para la transparencia y responsabilidad en las operaciones y decisiones. También puede incluir la definición de objetivos claros y la identificación de las partes interesadas clave.</w:t>
      </w:r>
    </w:p>
    <w:p w14:paraId="54697839" w14:textId="77777777" w:rsidR="00EF6B92" w:rsidRPr="00EF6B92" w:rsidRDefault="00EF6B92" w:rsidP="00EF6B92">
      <w:pPr>
        <w:tabs>
          <w:tab w:val="left" w:pos="1889"/>
        </w:tabs>
        <w:spacing w:line="276" w:lineRule="auto"/>
        <w:jc w:val="both"/>
        <w:rPr>
          <w:rFonts w:ascii="Arial" w:hAnsi="Arial" w:cs="Arial"/>
          <w:color w:val="202124"/>
          <w:shd w:val="clear" w:color="auto" w:fill="FFFFFF"/>
        </w:rPr>
      </w:pPr>
    </w:p>
    <w:p w14:paraId="6D35F9C5" w14:textId="77777777" w:rsidR="00EF6B92" w:rsidRPr="00EF6B92" w:rsidRDefault="00EF6B92" w:rsidP="00EF6B92">
      <w:pPr>
        <w:tabs>
          <w:tab w:val="left" w:pos="1889"/>
        </w:tabs>
        <w:spacing w:line="276" w:lineRule="auto"/>
        <w:jc w:val="both"/>
        <w:rPr>
          <w:rFonts w:ascii="Arial" w:hAnsi="Arial" w:cs="Arial"/>
          <w:color w:val="202124"/>
          <w:shd w:val="clear" w:color="auto" w:fill="FFFFFF"/>
        </w:rPr>
      </w:pPr>
      <w:r w:rsidRPr="00EF6B92">
        <w:rPr>
          <w:rFonts w:ascii="Arial" w:hAnsi="Arial" w:cs="Arial"/>
          <w:color w:val="202124"/>
          <w:shd w:val="clear" w:color="auto" w:fill="FFFFFF"/>
        </w:rPr>
        <w:t>Nivel</w:t>
      </w:r>
      <w:r>
        <w:rPr>
          <w:rFonts w:ascii="Arial" w:hAnsi="Arial" w:cs="Arial"/>
          <w:color w:val="202124"/>
          <w:shd w:val="clear" w:color="auto" w:fill="FFFFFF"/>
        </w:rPr>
        <w:t xml:space="preserve"> </w:t>
      </w:r>
      <w:r w:rsidRPr="00EF6B92">
        <w:rPr>
          <w:rFonts w:ascii="Arial" w:hAnsi="Arial" w:cs="Arial"/>
          <w:color w:val="202124"/>
          <w:shd w:val="clear" w:color="auto" w:fill="FFFFFF"/>
        </w:rPr>
        <w:t xml:space="preserve">de consolidación: </w:t>
      </w:r>
      <w:r>
        <w:rPr>
          <w:rFonts w:ascii="Arial" w:hAnsi="Arial" w:cs="Arial"/>
          <w:color w:val="202124"/>
          <w:shd w:val="clear" w:color="auto" w:fill="FFFFFF"/>
        </w:rPr>
        <w:t>L</w:t>
      </w:r>
      <w:r w:rsidRPr="00EF6B92">
        <w:rPr>
          <w:rFonts w:ascii="Arial" w:hAnsi="Arial" w:cs="Arial"/>
          <w:color w:val="202124"/>
          <w:shd w:val="clear" w:color="auto" w:fill="FFFFFF"/>
        </w:rPr>
        <w:t xml:space="preserve">a </w:t>
      </w:r>
      <w:r>
        <w:rPr>
          <w:rFonts w:ascii="Arial" w:hAnsi="Arial" w:cs="Arial"/>
          <w:color w:val="202124"/>
          <w:shd w:val="clear" w:color="auto" w:fill="FFFFFF"/>
        </w:rPr>
        <w:t xml:space="preserve">entidad </w:t>
      </w:r>
      <w:r w:rsidRPr="00EF6B92">
        <w:rPr>
          <w:rFonts w:ascii="Arial" w:hAnsi="Arial" w:cs="Arial"/>
          <w:color w:val="202124"/>
          <w:shd w:val="clear" w:color="auto" w:fill="FFFFFF"/>
        </w:rPr>
        <w:t>ha avanzado en la implementación de su enfoque de rendición de cuentas y está fortaleciendo sus mecanismos y procesos. Se pueden desarrollar sistemas más robustos de seguimiento y evaluación, y se busca una mayor participación y retroalimentación de las partes interesadas. También puede implicar la mejora de la comunicación y la divulgación de información relevante.</w:t>
      </w:r>
    </w:p>
    <w:p w14:paraId="4ABBFD51" w14:textId="77777777" w:rsidR="00EF6B92" w:rsidRPr="00EF6B92" w:rsidRDefault="00EF6B92" w:rsidP="00EF6B92">
      <w:pPr>
        <w:tabs>
          <w:tab w:val="left" w:pos="1889"/>
        </w:tabs>
        <w:spacing w:line="276" w:lineRule="auto"/>
        <w:jc w:val="both"/>
        <w:rPr>
          <w:rFonts w:ascii="Arial" w:hAnsi="Arial" w:cs="Arial"/>
          <w:color w:val="202124"/>
          <w:shd w:val="clear" w:color="auto" w:fill="FFFFFF"/>
        </w:rPr>
      </w:pPr>
    </w:p>
    <w:p w14:paraId="28F1E4EB" w14:textId="77777777" w:rsidR="00997666" w:rsidRPr="00EF6B92" w:rsidRDefault="00EF6B92" w:rsidP="00EF6B92">
      <w:pPr>
        <w:tabs>
          <w:tab w:val="left" w:pos="1889"/>
        </w:tabs>
        <w:spacing w:line="276" w:lineRule="auto"/>
        <w:jc w:val="both"/>
        <w:rPr>
          <w:rFonts w:ascii="Arial" w:hAnsi="Arial" w:cs="Arial"/>
          <w:color w:val="202124"/>
          <w:shd w:val="clear" w:color="auto" w:fill="FFFFFF"/>
        </w:rPr>
      </w:pPr>
      <w:r w:rsidRPr="00EF6B92">
        <w:rPr>
          <w:rFonts w:ascii="Arial" w:hAnsi="Arial" w:cs="Arial"/>
          <w:color w:val="202124"/>
          <w:shd w:val="clear" w:color="auto" w:fill="FFFFFF"/>
        </w:rPr>
        <w:t>Nivel perfeccionamiento: En este nivel, la</w:t>
      </w:r>
      <w:r>
        <w:rPr>
          <w:rFonts w:ascii="Arial" w:hAnsi="Arial" w:cs="Arial"/>
          <w:color w:val="202124"/>
          <w:shd w:val="clear" w:color="auto" w:fill="FFFFFF"/>
        </w:rPr>
        <w:t xml:space="preserve"> entidad</w:t>
      </w:r>
      <w:r w:rsidRPr="00EF6B92">
        <w:rPr>
          <w:rFonts w:ascii="Arial" w:hAnsi="Arial" w:cs="Arial"/>
          <w:color w:val="202124"/>
          <w:shd w:val="clear" w:color="auto" w:fill="FFFFFF"/>
        </w:rPr>
        <w:t xml:space="preserve"> ha alcanzado un alto grado de madurez en su enfoque de rendición de cuentas. Se han establecido sistemas avanzados de medición de desempeño y se utilizan para informar de manera </w:t>
      </w:r>
      <w:r w:rsidRPr="00EF6B92">
        <w:rPr>
          <w:rFonts w:ascii="Arial" w:hAnsi="Arial" w:cs="Arial"/>
          <w:color w:val="202124"/>
          <w:shd w:val="clear" w:color="auto" w:fill="FFFFFF"/>
        </w:rPr>
        <w:lastRenderedPageBreak/>
        <w:t>proactiva sobre los resultados de las acciones. La cultura de rendición de cuentas está profundamente arraigada en la organización, y la retroalimentación y la participación de las partes interesadas son fundamentales para la toma de decisiones y la mejora continua.</w:t>
      </w:r>
    </w:p>
    <w:p w14:paraId="62E7D2B3" w14:textId="77777777" w:rsidR="00FA6B43" w:rsidRDefault="00FA6B43" w:rsidP="002D3765">
      <w:pPr>
        <w:pStyle w:val="Prrafodelista"/>
        <w:tabs>
          <w:tab w:val="left" w:pos="1889"/>
        </w:tabs>
        <w:spacing w:line="276" w:lineRule="auto"/>
        <w:jc w:val="both"/>
        <w:rPr>
          <w:rFonts w:ascii="Arial" w:hAnsi="Arial" w:cs="Arial"/>
          <w:i/>
          <w:iCs/>
          <w:color w:val="202124"/>
          <w:shd w:val="clear" w:color="auto" w:fill="FFFFFF"/>
        </w:rPr>
      </w:pPr>
    </w:p>
    <w:p w14:paraId="728B1A3B" w14:textId="77777777" w:rsidR="00FA6B43" w:rsidRDefault="00FA6B43" w:rsidP="002D3765">
      <w:pPr>
        <w:pStyle w:val="Prrafodelista"/>
        <w:tabs>
          <w:tab w:val="left" w:pos="1889"/>
        </w:tabs>
        <w:spacing w:line="276" w:lineRule="auto"/>
        <w:jc w:val="both"/>
        <w:rPr>
          <w:rFonts w:ascii="Arial" w:hAnsi="Arial" w:cs="Arial"/>
          <w:i/>
          <w:iCs/>
          <w:color w:val="202124"/>
          <w:shd w:val="clear" w:color="auto" w:fill="FFFFFF"/>
        </w:rPr>
      </w:pPr>
      <w:r>
        <w:rPr>
          <w:rFonts w:ascii="Arial" w:hAnsi="Arial" w:cs="Arial"/>
          <w:i/>
          <w:iCs/>
          <w:color w:val="202124"/>
          <w:shd w:val="clear" w:color="auto" w:fill="FFFFFF"/>
        </w:rPr>
        <w:t xml:space="preserve">Fuente: </w:t>
      </w:r>
      <w:r w:rsidR="00EF6B92">
        <w:rPr>
          <w:rFonts w:ascii="Arial" w:hAnsi="Arial" w:cs="Arial"/>
          <w:i/>
          <w:iCs/>
          <w:color w:val="202124"/>
          <w:shd w:val="clear" w:color="auto" w:fill="FFFFFF"/>
        </w:rPr>
        <w:t xml:space="preserve">Se toma como base el </w:t>
      </w:r>
      <w:r>
        <w:rPr>
          <w:rFonts w:ascii="Arial" w:hAnsi="Arial" w:cs="Arial"/>
          <w:i/>
          <w:iCs/>
          <w:color w:val="202124"/>
          <w:shd w:val="clear" w:color="auto" w:fill="FFFFFF"/>
        </w:rPr>
        <w:t>Manual único de rendición de cuentas, Función Pública 2017.</w:t>
      </w:r>
    </w:p>
    <w:p w14:paraId="5D7A3747" w14:textId="77777777" w:rsidR="00FA6B43" w:rsidRDefault="00FA6B43" w:rsidP="002D3765">
      <w:pPr>
        <w:pStyle w:val="Prrafodelista"/>
        <w:tabs>
          <w:tab w:val="left" w:pos="1889"/>
        </w:tabs>
        <w:spacing w:line="276" w:lineRule="auto"/>
        <w:jc w:val="both"/>
        <w:rPr>
          <w:rFonts w:ascii="Arial" w:hAnsi="Arial" w:cs="Arial"/>
          <w:i/>
          <w:iCs/>
          <w:color w:val="202124"/>
          <w:shd w:val="clear" w:color="auto" w:fill="FFFFFF"/>
        </w:rPr>
      </w:pPr>
    </w:p>
    <w:p w14:paraId="34A783B9" w14:textId="77777777" w:rsidR="00FA6B43" w:rsidRDefault="00FA6B43" w:rsidP="00FA6B43">
      <w:pPr>
        <w:pStyle w:val="Prrafodelista"/>
        <w:numPr>
          <w:ilvl w:val="0"/>
          <w:numId w:val="1"/>
        </w:numPr>
        <w:tabs>
          <w:tab w:val="left" w:pos="1889"/>
        </w:tabs>
        <w:spacing w:line="276" w:lineRule="auto"/>
        <w:jc w:val="both"/>
        <w:rPr>
          <w:rFonts w:ascii="Arial" w:hAnsi="Arial" w:cs="Arial"/>
          <w:b/>
          <w:bCs/>
          <w:color w:val="202124"/>
          <w:shd w:val="clear" w:color="auto" w:fill="FFFFFF"/>
        </w:rPr>
      </w:pPr>
      <w:r w:rsidRPr="00FA6B43">
        <w:rPr>
          <w:rFonts w:ascii="Arial" w:hAnsi="Arial" w:cs="Arial"/>
          <w:b/>
          <w:bCs/>
          <w:color w:val="202124"/>
          <w:shd w:val="clear" w:color="auto" w:fill="FFFFFF"/>
        </w:rPr>
        <w:t>¿Cuáles son las etapas del proceso de rendición de cuentas?</w:t>
      </w:r>
    </w:p>
    <w:p w14:paraId="19751D63" w14:textId="77777777" w:rsidR="00FA6B43" w:rsidRDefault="00FA6B43" w:rsidP="00FA6B43">
      <w:pPr>
        <w:tabs>
          <w:tab w:val="left" w:pos="1889"/>
        </w:tabs>
        <w:spacing w:line="276" w:lineRule="auto"/>
        <w:jc w:val="both"/>
        <w:rPr>
          <w:rFonts w:ascii="Arial" w:hAnsi="Arial" w:cs="Arial"/>
          <w:b/>
          <w:bCs/>
          <w:color w:val="202124"/>
          <w:shd w:val="clear" w:color="auto" w:fill="FFFFFF"/>
        </w:rPr>
      </w:pPr>
    </w:p>
    <w:p w14:paraId="3CF515E3" w14:textId="77777777" w:rsidR="00FA6B43" w:rsidRDefault="00FA6B43" w:rsidP="00FA6B43">
      <w:pPr>
        <w:tabs>
          <w:tab w:val="left" w:pos="1889"/>
        </w:tabs>
        <w:spacing w:line="276" w:lineRule="auto"/>
        <w:jc w:val="both"/>
        <w:rPr>
          <w:rFonts w:ascii="Arial" w:hAnsi="Arial" w:cs="Arial"/>
          <w:b/>
          <w:bCs/>
          <w:color w:val="202124"/>
          <w:shd w:val="clear" w:color="auto" w:fill="FFFFFF"/>
        </w:rPr>
      </w:pPr>
    </w:p>
    <w:p w14:paraId="215584C7" w14:textId="77777777" w:rsidR="00FA6B43" w:rsidRPr="00FA6B43" w:rsidRDefault="00FA6B43" w:rsidP="00FA6B43">
      <w:pPr>
        <w:tabs>
          <w:tab w:val="left" w:pos="1889"/>
        </w:tabs>
        <w:spacing w:line="276" w:lineRule="auto"/>
        <w:jc w:val="both"/>
        <w:rPr>
          <w:rFonts w:ascii="Arial" w:hAnsi="Arial" w:cs="Arial"/>
          <w:color w:val="202124"/>
          <w:shd w:val="clear" w:color="auto" w:fill="FFFFFF"/>
        </w:rPr>
      </w:pPr>
      <w:r w:rsidRPr="00FA6B43">
        <w:rPr>
          <w:rFonts w:ascii="Arial" w:hAnsi="Arial" w:cs="Arial"/>
          <w:color w:val="202124"/>
          <w:shd w:val="clear" w:color="auto" w:fill="FFFFFF"/>
        </w:rPr>
        <w:t xml:space="preserve">Para la definición de estrategia de rendición de cuentas se debe seguir 5 etapas: </w:t>
      </w:r>
    </w:p>
    <w:p w14:paraId="68D37B91" w14:textId="77777777" w:rsidR="00FA6B43" w:rsidRPr="00FA6B43" w:rsidRDefault="00FA6B43" w:rsidP="00FA6B43">
      <w:pPr>
        <w:tabs>
          <w:tab w:val="left" w:pos="1889"/>
        </w:tabs>
        <w:spacing w:line="276" w:lineRule="auto"/>
        <w:jc w:val="both"/>
        <w:rPr>
          <w:rFonts w:ascii="Arial" w:hAnsi="Arial" w:cs="Arial"/>
          <w:color w:val="202124"/>
          <w:shd w:val="clear" w:color="auto" w:fill="FFFFFF"/>
        </w:rPr>
      </w:pPr>
    </w:p>
    <w:p w14:paraId="14384923" w14:textId="77777777" w:rsidR="00FA6B43" w:rsidRPr="00FA6B43" w:rsidRDefault="00FA6B43" w:rsidP="00FA6B43">
      <w:pPr>
        <w:tabs>
          <w:tab w:val="left" w:pos="1889"/>
        </w:tabs>
        <w:spacing w:line="276" w:lineRule="auto"/>
        <w:jc w:val="both"/>
        <w:rPr>
          <w:rFonts w:ascii="Arial" w:hAnsi="Arial" w:cs="Arial"/>
          <w:color w:val="202124"/>
          <w:shd w:val="clear" w:color="auto" w:fill="FFFFFF"/>
        </w:rPr>
      </w:pPr>
      <w:r w:rsidRPr="00FA6B43">
        <w:rPr>
          <w:rFonts w:ascii="Arial" w:hAnsi="Arial" w:cs="Arial"/>
          <w:color w:val="202124"/>
          <w:shd w:val="clear" w:color="auto" w:fill="FFFFFF"/>
        </w:rPr>
        <w:t>1. Aprestamiento</w:t>
      </w:r>
    </w:p>
    <w:p w14:paraId="4E5A86ED" w14:textId="77777777" w:rsidR="00FA6B43" w:rsidRPr="00FA6B43" w:rsidRDefault="00FA6B43" w:rsidP="00FA6B43">
      <w:pPr>
        <w:tabs>
          <w:tab w:val="left" w:pos="1889"/>
        </w:tabs>
        <w:spacing w:line="276" w:lineRule="auto"/>
        <w:jc w:val="both"/>
        <w:rPr>
          <w:rFonts w:ascii="Arial" w:hAnsi="Arial" w:cs="Arial"/>
          <w:color w:val="202124"/>
          <w:shd w:val="clear" w:color="auto" w:fill="FFFFFF"/>
        </w:rPr>
      </w:pPr>
      <w:r w:rsidRPr="00FA6B43">
        <w:rPr>
          <w:rFonts w:ascii="Arial" w:hAnsi="Arial" w:cs="Arial"/>
          <w:color w:val="202124"/>
          <w:shd w:val="clear" w:color="auto" w:fill="FFFFFF"/>
        </w:rPr>
        <w:t xml:space="preserve">2. Diseño  </w:t>
      </w:r>
    </w:p>
    <w:p w14:paraId="01F70951" w14:textId="77777777" w:rsidR="00FA6B43" w:rsidRDefault="00FA6B43" w:rsidP="00FA6B43">
      <w:pPr>
        <w:tabs>
          <w:tab w:val="left" w:pos="1889"/>
        </w:tabs>
        <w:spacing w:line="276" w:lineRule="auto"/>
        <w:jc w:val="both"/>
        <w:rPr>
          <w:rFonts w:ascii="Arial" w:hAnsi="Arial" w:cs="Arial"/>
          <w:color w:val="202124"/>
          <w:shd w:val="clear" w:color="auto" w:fill="FFFFFF"/>
        </w:rPr>
      </w:pPr>
      <w:r w:rsidRPr="00FA6B43">
        <w:rPr>
          <w:rFonts w:ascii="Arial" w:hAnsi="Arial" w:cs="Arial"/>
          <w:color w:val="202124"/>
          <w:shd w:val="clear" w:color="auto" w:fill="FFFFFF"/>
        </w:rPr>
        <w:t xml:space="preserve">3. preparación/ capacitación </w:t>
      </w:r>
    </w:p>
    <w:p w14:paraId="7D2D2C62" w14:textId="77777777" w:rsidR="00FA6B43" w:rsidRDefault="00FA6B43" w:rsidP="00FA6B43">
      <w:pPr>
        <w:tabs>
          <w:tab w:val="left" w:pos="1889"/>
        </w:tabs>
        <w:spacing w:line="276" w:lineRule="auto"/>
        <w:jc w:val="both"/>
        <w:rPr>
          <w:rFonts w:ascii="Arial" w:hAnsi="Arial" w:cs="Arial"/>
          <w:color w:val="202124"/>
          <w:shd w:val="clear" w:color="auto" w:fill="FFFFFF"/>
        </w:rPr>
      </w:pPr>
      <w:r>
        <w:rPr>
          <w:rFonts w:ascii="Arial" w:hAnsi="Arial" w:cs="Arial"/>
          <w:color w:val="202124"/>
          <w:shd w:val="clear" w:color="auto" w:fill="FFFFFF"/>
        </w:rPr>
        <w:t>4. E</w:t>
      </w:r>
      <w:r w:rsidRPr="00FA6B43">
        <w:rPr>
          <w:rFonts w:ascii="Arial" w:hAnsi="Arial" w:cs="Arial"/>
          <w:color w:val="202124"/>
          <w:shd w:val="clear" w:color="auto" w:fill="FFFFFF"/>
        </w:rPr>
        <w:t>jecución</w:t>
      </w:r>
    </w:p>
    <w:p w14:paraId="490CA224" w14:textId="77777777" w:rsidR="00FA6B43" w:rsidRDefault="00FA6B43" w:rsidP="00FA6B43">
      <w:pPr>
        <w:tabs>
          <w:tab w:val="left" w:pos="1889"/>
        </w:tabs>
        <w:spacing w:line="276" w:lineRule="auto"/>
        <w:jc w:val="both"/>
        <w:rPr>
          <w:rFonts w:ascii="Arial" w:hAnsi="Arial" w:cs="Arial"/>
          <w:color w:val="202124"/>
          <w:shd w:val="clear" w:color="auto" w:fill="FFFFFF"/>
        </w:rPr>
      </w:pPr>
      <w:r>
        <w:rPr>
          <w:rFonts w:ascii="Arial" w:hAnsi="Arial" w:cs="Arial"/>
          <w:color w:val="202124"/>
          <w:shd w:val="clear" w:color="auto" w:fill="FFFFFF"/>
        </w:rPr>
        <w:t>5. S</w:t>
      </w:r>
      <w:r w:rsidRPr="00FA6B43">
        <w:rPr>
          <w:rFonts w:ascii="Arial" w:hAnsi="Arial" w:cs="Arial"/>
          <w:color w:val="202124"/>
          <w:shd w:val="clear" w:color="auto" w:fill="FFFFFF"/>
        </w:rPr>
        <w:t>eguimiento y evaluación</w:t>
      </w:r>
    </w:p>
    <w:p w14:paraId="04B51746" w14:textId="77777777" w:rsidR="00FA6B43" w:rsidRDefault="00FA6B43" w:rsidP="00FA6B43">
      <w:pPr>
        <w:tabs>
          <w:tab w:val="left" w:pos="1889"/>
        </w:tabs>
        <w:spacing w:line="276" w:lineRule="auto"/>
        <w:jc w:val="both"/>
        <w:rPr>
          <w:rFonts w:ascii="Arial" w:hAnsi="Arial" w:cs="Arial"/>
          <w:color w:val="202124"/>
          <w:shd w:val="clear" w:color="auto" w:fill="FFFFFF"/>
        </w:rPr>
      </w:pPr>
    </w:p>
    <w:p w14:paraId="324A83E4" w14:textId="77777777" w:rsidR="00FA6B43" w:rsidRDefault="00FA6B43" w:rsidP="00FA6B43">
      <w:pPr>
        <w:tabs>
          <w:tab w:val="left" w:pos="1889"/>
        </w:tabs>
        <w:spacing w:line="276" w:lineRule="auto"/>
        <w:jc w:val="both"/>
        <w:rPr>
          <w:rFonts w:ascii="Arial" w:hAnsi="Arial" w:cs="Arial"/>
          <w:i/>
          <w:iCs/>
          <w:color w:val="202124"/>
          <w:shd w:val="clear" w:color="auto" w:fill="FFFFFF"/>
        </w:rPr>
      </w:pPr>
      <w:r w:rsidRPr="002D3765">
        <w:rPr>
          <w:rFonts w:ascii="Arial" w:hAnsi="Arial" w:cs="Arial"/>
          <w:i/>
          <w:iCs/>
          <w:color w:val="202124"/>
          <w:shd w:val="clear" w:color="auto" w:fill="FFFFFF"/>
        </w:rPr>
        <w:t xml:space="preserve">Fuente: Ley 1757 de 2015, articulo </w:t>
      </w:r>
      <w:r>
        <w:rPr>
          <w:rFonts w:ascii="Arial" w:hAnsi="Arial" w:cs="Arial"/>
          <w:i/>
          <w:iCs/>
          <w:color w:val="202124"/>
          <w:shd w:val="clear" w:color="auto" w:fill="FFFFFF"/>
        </w:rPr>
        <w:t>56.</w:t>
      </w:r>
    </w:p>
    <w:p w14:paraId="6FB282CA" w14:textId="77777777" w:rsidR="003A7C8F" w:rsidRDefault="003A7C8F" w:rsidP="00FA6B43">
      <w:pPr>
        <w:tabs>
          <w:tab w:val="left" w:pos="1889"/>
        </w:tabs>
        <w:spacing w:line="276" w:lineRule="auto"/>
        <w:jc w:val="both"/>
        <w:rPr>
          <w:rFonts w:ascii="Arial" w:hAnsi="Arial" w:cs="Arial"/>
          <w:color w:val="202124"/>
          <w:shd w:val="clear" w:color="auto" w:fill="FFFFFF"/>
        </w:rPr>
      </w:pPr>
    </w:p>
    <w:p w14:paraId="2E506BBB" w14:textId="77777777" w:rsidR="00EF6B92" w:rsidRPr="00EF6B92" w:rsidRDefault="00EF6B92" w:rsidP="00EF6B92">
      <w:pPr>
        <w:pStyle w:val="Prrafodelista"/>
        <w:tabs>
          <w:tab w:val="left" w:pos="1889"/>
        </w:tabs>
        <w:spacing w:line="276" w:lineRule="auto"/>
        <w:jc w:val="both"/>
        <w:rPr>
          <w:rFonts w:ascii="Arial" w:hAnsi="Arial" w:cs="Arial"/>
          <w:i/>
          <w:iCs/>
          <w:color w:val="202124"/>
          <w:shd w:val="clear" w:color="auto" w:fill="FFFFFF"/>
        </w:rPr>
      </w:pPr>
    </w:p>
    <w:p w14:paraId="5E41B195" w14:textId="77777777" w:rsidR="00EF6B92" w:rsidRPr="00FA3928" w:rsidRDefault="00EF6B92" w:rsidP="00EF6B92">
      <w:pPr>
        <w:pStyle w:val="Prrafodelista"/>
        <w:numPr>
          <w:ilvl w:val="0"/>
          <w:numId w:val="1"/>
        </w:numPr>
        <w:tabs>
          <w:tab w:val="left" w:pos="1889"/>
        </w:tabs>
        <w:spacing w:line="276" w:lineRule="auto"/>
        <w:jc w:val="both"/>
        <w:rPr>
          <w:rFonts w:ascii="Arial" w:hAnsi="Arial" w:cs="Arial"/>
          <w:b/>
          <w:bCs/>
          <w:color w:val="202124"/>
          <w:shd w:val="clear" w:color="auto" w:fill="FFFFFF"/>
        </w:rPr>
      </w:pPr>
      <w:r w:rsidRPr="00FA3928">
        <w:rPr>
          <w:rFonts w:ascii="Arial" w:hAnsi="Arial" w:cs="Arial"/>
          <w:b/>
          <w:bCs/>
          <w:color w:val="202124"/>
          <w:shd w:val="clear" w:color="auto" w:fill="FFFFFF"/>
        </w:rPr>
        <w:t>¿La Procuraduría General de la Nación debe rendir cuentas?</w:t>
      </w:r>
    </w:p>
    <w:p w14:paraId="19469A5E" w14:textId="77777777" w:rsidR="00FA3928" w:rsidRDefault="00FA3928" w:rsidP="00FA3928">
      <w:pPr>
        <w:tabs>
          <w:tab w:val="left" w:pos="1889"/>
        </w:tabs>
        <w:spacing w:line="276" w:lineRule="auto"/>
        <w:jc w:val="both"/>
        <w:rPr>
          <w:rFonts w:ascii="Arial" w:hAnsi="Arial" w:cs="Arial"/>
          <w:i/>
          <w:iCs/>
          <w:color w:val="202124"/>
          <w:shd w:val="clear" w:color="auto" w:fill="FFFFFF"/>
        </w:rPr>
      </w:pPr>
    </w:p>
    <w:p w14:paraId="449CB794" w14:textId="77777777" w:rsidR="00FA3928" w:rsidRPr="00BE72EC" w:rsidRDefault="00FA3928" w:rsidP="00FA3928">
      <w:pPr>
        <w:spacing w:line="276" w:lineRule="auto"/>
        <w:jc w:val="both"/>
        <w:rPr>
          <w:rFonts w:ascii="Arial" w:eastAsia="Times New Roman" w:hAnsi="Arial" w:cs="Arial"/>
          <w:lang w:eastAsia="es-MX"/>
        </w:rPr>
      </w:pPr>
      <w:r w:rsidRPr="00BE72EC">
        <w:rPr>
          <w:rFonts w:ascii="Arial" w:eastAsia="Times New Roman" w:hAnsi="Arial" w:cs="Arial"/>
          <w:lang w:eastAsia="es-MX"/>
        </w:rPr>
        <w:t xml:space="preserve">La Procuraduría General de la Nación, en el marco de sus funciones Constitucionales, </w:t>
      </w:r>
      <w:r>
        <w:rPr>
          <w:rFonts w:ascii="Arial" w:eastAsia="Times New Roman" w:hAnsi="Arial" w:cs="Arial"/>
          <w:lang w:eastAsia="es-MX"/>
        </w:rPr>
        <w:t xml:space="preserve">tiene el </w:t>
      </w:r>
      <w:r w:rsidRPr="00BE72EC">
        <w:rPr>
          <w:rFonts w:ascii="Arial" w:eastAsia="Times New Roman" w:hAnsi="Arial" w:cs="Arial"/>
          <w:lang w:eastAsia="es-MX"/>
        </w:rPr>
        <w:t>deber de rendir cuentas de su gestión a la ciudadanía, en el marco de una cultura de participación ciudadana, acceso a la información pública, gestión transparente, oportuna y servicio al ciudadano.</w:t>
      </w:r>
    </w:p>
    <w:p w14:paraId="4B3B81C8" w14:textId="77777777" w:rsidR="00FA3928" w:rsidRPr="00FA3928" w:rsidRDefault="00FA3928" w:rsidP="00FA3928">
      <w:pPr>
        <w:tabs>
          <w:tab w:val="left" w:pos="1889"/>
        </w:tabs>
        <w:spacing w:line="276" w:lineRule="auto"/>
        <w:jc w:val="both"/>
        <w:rPr>
          <w:rFonts w:ascii="Arial" w:hAnsi="Arial" w:cs="Arial"/>
          <w:i/>
          <w:iCs/>
          <w:color w:val="202124"/>
          <w:shd w:val="clear" w:color="auto" w:fill="FFFFFF"/>
        </w:rPr>
      </w:pPr>
    </w:p>
    <w:p w14:paraId="44EEA767" w14:textId="77777777" w:rsidR="00FA3928" w:rsidRDefault="00FA3928" w:rsidP="00FA3928">
      <w:pPr>
        <w:tabs>
          <w:tab w:val="left" w:pos="1889"/>
        </w:tabs>
        <w:spacing w:line="276" w:lineRule="auto"/>
        <w:jc w:val="both"/>
        <w:rPr>
          <w:rFonts w:ascii="Arial" w:eastAsia="Times New Roman" w:hAnsi="Arial" w:cs="Arial"/>
          <w:i/>
          <w:iCs/>
          <w:lang w:eastAsia="es-MX"/>
        </w:rPr>
      </w:pPr>
      <w:r w:rsidRPr="00FA3928">
        <w:rPr>
          <w:rFonts w:ascii="Arial" w:hAnsi="Arial" w:cs="Arial"/>
          <w:i/>
          <w:iCs/>
          <w:color w:val="202124"/>
          <w:shd w:val="clear" w:color="auto" w:fill="FFFFFF"/>
        </w:rPr>
        <w:t xml:space="preserve">Fuente: </w:t>
      </w:r>
      <w:r w:rsidRPr="00FA3928">
        <w:rPr>
          <w:rFonts w:ascii="Arial" w:eastAsia="Times New Roman" w:hAnsi="Arial" w:cs="Arial"/>
          <w:i/>
          <w:iCs/>
          <w:lang w:eastAsia="es-MX"/>
        </w:rPr>
        <w:t>CONPES 3654 de 2010</w:t>
      </w:r>
    </w:p>
    <w:p w14:paraId="1298FAC7" w14:textId="77777777" w:rsidR="00DC7E37" w:rsidRPr="00DC7E37" w:rsidRDefault="00DC7E37" w:rsidP="00DC7E37">
      <w:pPr>
        <w:pStyle w:val="Prrafodelista"/>
        <w:tabs>
          <w:tab w:val="left" w:pos="1889"/>
        </w:tabs>
        <w:spacing w:line="276" w:lineRule="auto"/>
        <w:jc w:val="both"/>
        <w:rPr>
          <w:rFonts w:ascii="Arial" w:hAnsi="Arial" w:cs="Arial"/>
          <w:b/>
          <w:bCs/>
          <w:color w:val="202124"/>
          <w:shd w:val="clear" w:color="auto" w:fill="FFFFFF"/>
        </w:rPr>
      </w:pPr>
    </w:p>
    <w:p w14:paraId="11D96E66" w14:textId="77777777" w:rsidR="00DC7E37" w:rsidRPr="00DC7E37" w:rsidRDefault="00DC7E37" w:rsidP="00DC7E37">
      <w:pPr>
        <w:pStyle w:val="Prrafodelista"/>
        <w:numPr>
          <w:ilvl w:val="0"/>
          <w:numId w:val="1"/>
        </w:numPr>
        <w:tabs>
          <w:tab w:val="left" w:pos="1889"/>
        </w:tabs>
        <w:spacing w:line="276" w:lineRule="auto"/>
        <w:jc w:val="both"/>
        <w:rPr>
          <w:rFonts w:ascii="Arial" w:hAnsi="Arial" w:cs="Arial"/>
          <w:b/>
          <w:bCs/>
          <w:color w:val="202124"/>
          <w:shd w:val="clear" w:color="auto" w:fill="FFFFFF"/>
        </w:rPr>
      </w:pPr>
      <w:r w:rsidRPr="00DC7E37">
        <w:rPr>
          <w:rFonts w:ascii="Arial" w:hAnsi="Arial" w:cs="Arial"/>
          <w:b/>
          <w:bCs/>
          <w:color w:val="202124"/>
          <w:shd w:val="clear" w:color="auto" w:fill="FFFFFF"/>
        </w:rPr>
        <w:t>¿Quiénes pueden participar de la rendición de cuentas?</w:t>
      </w:r>
    </w:p>
    <w:p w14:paraId="5D6D0B2E" w14:textId="77777777" w:rsidR="00DC7E37" w:rsidRDefault="00DC7E37" w:rsidP="00FA3928">
      <w:pPr>
        <w:tabs>
          <w:tab w:val="left" w:pos="1889"/>
        </w:tabs>
        <w:spacing w:line="276" w:lineRule="auto"/>
        <w:jc w:val="both"/>
        <w:rPr>
          <w:rFonts w:ascii="Arial" w:eastAsia="Times New Roman" w:hAnsi="Arial" w:cs="Arial"/>
          <w:i/>
          <w:iCs/>
          <w:lang w:eastAsia="es-MX"/>
        </w:rPr>
      </w:pPr>
    </w:p>
    <w:p w14:paraId="3B52D288" w14:textId="77777777" w:rsidR="00DC7E37" w:rsidRDefault="00DC7E37" w:rsidP="00FA3928">
      <w:pPr>
        <w:tabs>
          <w:tab w:val="left" w:pos="1889"/>
        </w:tabs>
        <w:spacing w:line="276" w:lineRule="auto"/>
        <w:jc w:val="both"/>
        <w:rPr>
          <w:rFonts w:ascii="Arial" w:hAnsi="Arial" w:cs="Arial"/>
          <w:color w:val="202124"/>
          <w:shd w:val="clear" w:color="auto" w:fill="FFFFFF"/>
        </w:rPr>
      </w:pPr>
      <w:r>
        <w:rPr>
          <w:rFonts w:ascii="Arial" w:hAnsi="Arial" w:cs="Arial"/>
          <w:color w:val="202124"/>
          <w:shd w:val="clear" w:color="auto" w:fill="FFFFFF"/>
        </w:rPr>
        <w:t>C</w:t>
      </w:r>
      <w:r w:rsidRPr="00DC7E37">
        <w:rPr>
          <w:rFonts w:ascii="Arial" w:hAnsi="Arial" w:cs="Arial"/>
          <w:color w:val="202124"/>
          <w:shd w:val="clear" w:color="auto" w:fill="FFFFFF"/>
        </w:rPr>
        <w:t>ualquier persona o grupo</w:t>
      </w:r>
      <w:r>
        <w:rPr>
          <w:rFonts w:ascii="Arial" w:hAnsi="Arial" w:cs="Arial"/>
          <w:color w:val="202124"/>
          <w:shd w:val="clear" w:color="auto" w:fill="FFFFFF"/>
        </w:rPr>
        <w:t xml:space="preserve"> de valor</w:t>
      </w:r>
      <w:r w:rsidRPr="00DC7E37">
        <w:rPr>
          <w:rFonts w:ascii="Arial" w:hAnsi="Arial" w:cs="Arial"/>
          <w:color w:val="202124"/>
          <w:shd w:val="clear" w:color="auto" w:fill="FFFFFF"/>
        </w:rPr>
        <w:t xml:space="preserve"> que tenga un interés legítimo en las acciones y decisiones de una institución o entidad puede participar en el proceso de rendición de cuentas. La participación activa y diversa en la rendición de cuentas es fundamental para garantizar la transparencia, la responsabilidad y el buen gobierno.</w:t>
      </w:r>
    </w:p>
    <w:p w14:paraId="736377AE" w14:textId="77777777" w:rsidR="00664F57" w:rsidRDefault="00664F57" w:rsidP="00FA3928">
      <w:pPr>
        <w:tabs>
          <w:tab w:val="left" w:pos="1889"/>
        </w:tabs>
        <w:spacing w:line="276" w:lineRule="auto"/>
        <w:jc w:val="both"/>
        <w:rPr>
          <w:rFonts w:ascii="Arial" w:hAnsi="Arial" w:cs="Arial"/>
          <w:color w:val="202124"/>
          <w:shd w:val="clear" w:color="auto" w:fill="FFFFFF"/>
        </w:rPr>
      </w:pPr>
    </w:p>
    <w:p w14:paraId="49F34AF7" w14:textId="77777777" w:rsidR="00664F57" w:rsidRDefault="00664F57" w:rsidP="00664F57">
      <w:pPr>
        <w:pStyle w:val="Prrafodelista"/>
        <w:tabs>
          <w:tab w:val="left" w:pos="1889"/>
        </w:tabs>
        <w:spacing w:line="276" w:lineRule="auto"/>
        <w:jc w:val="both"/>
        <w:rPr>
          <w:rFonts w:ascii="Arial" w:hAnsi="Arial" w:cs="Arial"/>
          <w:i/>
          <w:iCs/>
          <w:color w:val="202124"/>
          <w:shd w:val="clear" w:color="auto" w:fill="FFFFFF"/>
        </w:rPr>
      </w:pPr>
      <w:r>
        <w:rPr>
          <w:rFonts w:ascii="Arial" w:hAnsi="Arial" w:cs="Arial"/>
          <w:i/>
          <w:iCs/>
          <w:color w:val="202124"/>
          <w:shd w:val="clear" w:color="auto" w:fill="FFFFFF"/>
        </w:rPr>
        <w:t>Fuente: Se toma como base el Manual único de rendición de cuentas, Función Pública 2017.</w:t>
      </w:r>
    </w:p>
    <w:p w14:paraId="158FD035" w14:textId="77777777" w:rsidR="00664F57" w:rsidRDefault="00664F57" w:rsidP="00664F57">
      <w:pPr>
        <w:pStyle w:val="Prrafodelista"/>
        <w:tabs>
          <w:tab w:val="left" w:pos="1889"/>
        </w:tabs>
        <w:spacing w:line="276" w:lineRule="auto"/>
        <w:jc w:val="both"/>
        <w:rPr>
          <w:rFonts w:ascii="Arial" w:hAnsi="Arial" w:cs="Arial"/>
          <w:i/>
          <w:iCs/>
          <w:color w:val="202124"/>
          <w:shd w:val="clear" w:color="auto" w:fill="FFFFFF"/>
        </w:rPr>
      </w:pPr>
    </w:p>
    <w:p w14:paraId="49333900" w14:textId="77777777" w:rsidR="00664F57" w:rsidRPr="00664F57" w:rsidRDefault="00664F57" w:rsidP="00664F57">
      <w:pPr>
        <w:pStyle w:val="Prrafodelista"/>
        <w:numPr>
          <w:ilvl w:val="0"/>
          <w:numId w:val="1"/>
        </w:numPr>
        <w:tabs>
          <w:tab w:val="left" w:pos="1889"/>
        </w:tabs>
        <w:spacing w:line="276" w:lineRule="auto"/>
        <w:jc w:val="both"/>
        <w:rPr>
          <w:rFonts w:ascii="Arial" w:hAnsi="Arial" w:cs="Arial"/>
          <w:b/>
          <w:bCs/>
          <w:color w:val="202124"/>
          <w:shd w:val="clear" w:color="auto" w:fill="FFFFFF"/>
        </w:rPr>
      </w:pPr>
      <w:r w:rsidRPr="00664F57">
        <w:rPr>
          <w:rFonts w:ascii="Arial" w:hAnsi="Arial" w:cs="Arial"/>
          <w:b/>
          <w:bCs/>
          <w:color w:val="202124"/>
          <w:shd w:val="clear" w:color="auto" w:fill="FFFFFF"/>
        </w:rPr>
        <w:lastRenderedPageBreak/>
        <w:t>Diferencias entre la participación ciudadana y la rendición de cuentas</w:t>
      </w:r>
    </w:p>
    <w:p w14:paraId="4D1E943C" w14:textId="77777777" w:rsidR="00664F57" w:rsidRDefault="00664F57" w:rsidP="00664F57">
      <w:pPr>
        <w:pStyle w:val="Prrafodelista"/>
        <w:tabs>
          <w:tab w:val="left" w:pos="1889"/>
        </w:tabs>
        <w:spacing w:line="276" w:lineRule="auto"/>
        <w:jc w:val="both"/>
        <w:rPr>
          <w:rFonts w:ascii="Arial" w:hAnsi="Arial" w:cs="Arial"/>
          <w:color w:val="202124"/>
          <w:shd w:val="clear" w:color="auto" w:fill="FFFFFF"/>
        </w:rPr>
      </w:pPr>
    </w:p>
    <w:p w14:paraId="29299678" w14:textId="77777777" w:rsidR="00664F57" w:rsidRPr="00664F57" w:rsidRDefault="00664F57" w:rsidP="00664F57">
      <w:pPr>
        <w:pStyle w:val="Prrafodelista"/>
        <w:tabs>
          <w:tab w:val="left" w:pos="1889"/>
        </w:tabs>
        <w:spacing w:line="276" w:lineRule="auto"/>
        <w:jc w:val="both"/>
        <w:rPr>
          <w:rFonts w:ascii="Arial" w:hAnsi="Arial" w:cs="Arial"/>
          <w:color w:val="202124"/>
          <w:shd w:val="clear" w:color="auto" w:fill="FFFFFF"/>
        </w:rPr>
      </w:pPr>
      <w:r w:rsidRPr="00664F57">
        <w:rPr>
          <w:rFonts w:ascii="Arial" w:hAnsi="Arial" w:cs="Arial"/>
          <w:color w:val="202124"/>
          <w:shd w:val="clear" w:color="auto" w:fill="FFFFFF"/>
        </w:rPr>
        <w:t>La participación ciudadana y la rendición de cuentas son conceptos relacionados pero distintos en el ámbito de la gobernanza. A continuación, se presentan las diferencias entre ambas:</w:t>
      </w:r>
    </w:p>
    <w:p w14:paraId="3B7E36D0" w14:textId="77777777" w:rsidR="00664F57" w:rsidRPr="00664F57" w:rsidRDefault="00664F57" w:rsidP="00664F57">
      <w:pPr>
        <w:pStyle w:val="Prrafodelista"/>
        <w:tabs>
          <w:tab w:val="left" w:pos="1889"/>
        </w:tabs>
        <w:spacing w:line="276" w:lineRule="auto"/>
        <w:jc w:val="both"/>
        <w:rPr>
          <w:rFonts w:ascii="Arial" w:hAnsi="Arial" w:cs="Arial"/>
          <w:color w:val="202124"/>
          <w:shd w:val="clear" w:color="auto" w:fill="FFFFFF"/>
        </w:rPr>
      </w:pPr>
    </w:p>
    <w:p w14:paraId="74098C65" w14:textId="77777777" w:rsidR="00664F57" w:rsidRDefault="00664F57" w:rsidP="00664F57">
      <w:pPr>
        <w:pStyle w:val="Prrafodelista"/>
        <w:tabs>
          <w:tab w:val="left" w:pos="1889"/>
        </w:tabs>
        <w:spacing w:line="276" w:lineRule="auto"/>
        <w:jc w:val="both"/>
        <w:rPr>
          <w:rFonts w:ascii="Arial" w:hAnsi="Arial" w:cs="Arial"/>
          <w:color w:val="202124"/>
          <w:shd w:val="clear" w:color="auto" w:fill="FFFFFF"/>
        </w:rPr>
      </w:pPr>
      <w:r w:rsidRPr="00664F57">
        <w:rPr>
          <w:rFonts w:ascii="Arial" w:hAnsi="Arial" w:cs="Arial"/>
          <w:color w:val="202124"/>
          <w:shd w:val="clear" w:color="auto" w:fill="FFFFFF"/>
        </w:rPr>
        <w:t>Participación ciudadana: Implica la movilización activa de la comunidad y su participación en la toma de decisiones, desde la identificación de problemas hasta la formulación de políticas y programas.</w:t>
      </w:r>
    </w:p>
    <w:p w14:paraId="2D5BFFCB" w14:textId="77777777" w:rsidR="00664F57" w:rsidRPr="00664F57" w:rsidRDefault="00664F57" w:rsidP="00664F57">
      <w:pPr>
        <w:pStyle w:val="Prrafodelista"/>
        <w:tabs>
          <w:tab w:val="left" w:pos="1889"/>
        </w:tabs>
        <w:spacing w:line="276" w:lineRule="auto"/>
        <w:jc w:val="both"/>
        <w:rPr>
          <w:rFonts w:ascii="Arial" w:hAnsi="Arial" w:cs="Arial"/>
          <w:color w:val="202124"/>
          <w:shd w:val="clear" w:color="auto" w:fill="FFFFFF"/>
        </w:rPr>
      </w:pPr>
    </w:p>
    <w:p w14:paraId="3D70E763" w14:textId="77777777" w:rsidR="00664F57" w:rsidRPr="00664F57" w:rsidRDefault="00664F57" w:rsidP="00664F57">
      <w:pPr>
        <w:pStyle w:val="Prrafodelista"/>
        <w:tabs>
          <w:tab w:val="left" w:pos="1889"/>
        </w:tabs>
        <w:spacing w:line="276" w:lineRule="auto"/>
        <w:jc w:val="both"/>
        <w:rPr>
          <w:rFonts w:ascii="Arial" w:hAnsi="Arial" w:cs="Arial"/>
          <w:color w:val="202124"/>
          <w:shd w:val="clear" w:color="auto" w:fill="FFFFFF"/>
        </w:rPr>
      </w:pPr>
      <w:r w:rsidRPr="00664F57">
        <w:rPr>
          <w:rFonts w:ascii="Arial" w:hAnsi="Arial" w:cs="Arial"/>
          <w:color w:val="202124"/>
          <w:shd w:val="clear" w:color="auto" w:fill="FFFFFF"/>
        </w:rPr>
        <w:t>Rendición de cuentas: Es un proceso posterior a la toma de decisiones o implementación de acciones, donde se informa y se justifica el desempeño y los resultados ante las partes interesadas.</w:t>
      </w:r>
    </w:p>
    <w:p w14:paraId="2F69963C" w14:textId="77777777" w:rsidR="00664F57" w:rsidRDefault="00664F57" w:rsidP="00FA3928">
      <w:pPr>
        <w:tabs>
          <w:tab w:val="left" w:pos="1889"/>
        </w:tabs>
        <w:spacing w:line="276" w:lineRule="auto"/>
        <w:jc w:val="both"/>
        <w:rPr>
          <w:rFonts w:ascii="Arial" w:hAnsi="Arial" w:cs="Arial"/>
          <w:color w:val="202124"/>
          <w:shd w:val="clear" w:color="auto" w:fill="FFFFFF"/>
        </w:rPr>
      </w:pPr>
    </w:p>
    <w:p w14:paraId="00B54A67" w14:textId="77777777" w:rsidR="00664F57" w:rsidRDefault="00664F57" w:rsidP="00664F57">
      <w:pPr>
        <w:pStyle w:val="Prrafodelista"/>
        <w:tabs>
          <w:tab w:val="left" w:pos="1889"/>
        </w:tabs>
        <w:spacing w:line="276" w:lineRule="auto"/>
        <w:jc w:val="both"/>
        <w:rPr>
          <w:rFonts w:ascii="Arial" w:hAnsi="Arial" w:cs="Arial"/>
          <w:i/>
          <w:iCs/>
          <w:color w:val="202124"/>
          <w:shd w:val="clear" w:color="auto" w:fill="FFFFFF"/>
        </w:rPr>
      </w:pPr>
      <w:r>
        <w:rPr>
          <w:rFonts w:ascii="Arial" w:hAnsi="Arial" w:cs="Arial"/>
          <w:i/>
          <w:iCs/>
          <w:color w:val="202124"/>
          <w:shd w:val="clear" w:color="auto" w:fill="FFFFFF"/>
        </w:rPr>
        <w:t>Fuente: Se toma como base el Manual único de rendición de cuentas, Función Pública 2017.</w:t>
      </w:r>
    </w:p>
    <w:p w14:paraId="45F3F349" w14:textId="77777777" w:rsidR="00664F57" w:rsidRPr="00DC7E37" w:rsidRDefault="00664F57" w:rsidP="00FA3928">
      <w:pPr>
        <w:tabs>
          <w:tab w:val="left" w:pos="1889"/>
        </w:tabs>
        <w:spacing w:line="276" w:lineRule="auto"/>
        <w:jc w:val="both"/>
        <w:rPr>
          <w:rFonts w:ascii="Arial" w:hAnsi="Arial" w:cs="Arial"/>
          <w:color w:val="202124"/>
          <w:shd w:val="clear" w:color="auto" w:fill="FFFFFF"/>
        </w:rPr>
      </w:pPr>
    </w:p>
    <w:sectPr w:rsidR="00664F57" w:rsidRPr="00DC7E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17040"/>
    <w:multiLevelType w:val="hybridMultilevel"/>
    <w:tmpl w:val="C6FA0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0C23A9D"/>
    <w:multiLevelType w:val="hybridMultilevel"/>
    <w:tmpl w:val="2B70E86A"/>
    <w:lvl w:ilvl="0" w:tplc="303E0E62">
      <w:start w:val="10"/>
      <w:numFmt w:val="decimal"/>
      <w:lvlText w:val="%1"/>
      <w:lvlJc w:val="left"/>
      <w:pPr>
        <w:ind w:left="1440" w:hanging="360"/>
      </w:pPr>
      <w:rPr>
        <w:rFonts w:ascii="Segoe UI" w:hAnsi="Segoe UI" w:cs="Segoe UI" w:hint="default"/>
        <w:color w:val="34354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64AD0A9F"/>
    <w:multiLevelType w:val="hybridMultilevel"/>
    <w:tmpl w:val="D2382C36"/>
    <w:lvl w:ilvl="0" w:tplc="7DFCCA26">
      <w:start w:val="1"/>
      <w:numFmt w:val="decimal"/>
      <w:lvlText w:val="%1."/>
      <w:lvlJc w:val="left"/>
      <w:pPr>
        <w:ind w:left="1080" w:hanging="360"/>
      </w:pPr>
      <w:rPr>
        <w:rFonts w:ascii="Segoe UI" w:hAnsi="Segoe UI" w:cs="Segoe UI" w:hint="default"/>
        <w:color w:val="34354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988360809">
    <w:abstractNumId w:val="0"/>
  </w:num>
  <w:num w:numId="2" w16cid:durableId="1052581273">
    <w:abstractNumId w:val="2"/>
  </w:num>
  <w:num w:numId="3" w16cid:durableId="752044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2E"/>
    <w:rsid w:val="00023453"/>
    <w:rsid w:val="00160303"/>
    <w:rsid w:val="0028044F"/>
    <w:rsid w:val="00284DAA"/>
    <w:rsid w:val="002D3765"/>
    <w:rsid w:val="003A57FF"/>
    <w:rsid w:val="003A7C8F"/>
    <w:rsid w:val="003F4B04"/>
    <w:rsid w:val="00664F57"/>
    <w:rsid w:val="00695519"/>
    <w:rsid w:val="006C182E"/>
    <w:rsid w:val="006E1A53"/>
    <w:rsid w:val="0080010F"/>
    <w:rsid w:val="00870FB2"/>
    <w:rsid w:val="00997666"/>
    <w:rsid w:val="00A53AEC"/>
    <w:rsid w:val="00BD1C5F"/>
    <w:rsid w:val="00DC7E37"/>
    <w:rsid w:val="00E05287"/>
    <w:rsid w:val="00E23A36"/>
    <w:rsid w:val="00E52EEF"/>
    <w:rsid w:val="00EF6B92"/>
    <w:rsid w:val="00F06A20"/>
    <w:rsid w:val="00FA3928"/>
    <w:rsid w:val="00FA6B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4CD5"/>
  <w15:chartTrackingRefBased/>
  <w15:docId w15:val="{06F97C00-6B7E-3B41-9D97-F3DD3C1C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3765"/>
    <w:pPr>
      <w:ind w:left="720"/>
      <w:contextualSpacing/>
    </w:pPr>
  </w:style>
  <w:style w:type="paragraph" w:styleId="NormalWeb">
    <w:name w:val="Normal (Web)"/>
    <w:basedOn w:val="Normal"/>
    <w:uiPriority w:val="99"/>
    <w:unhideWhenUsed/>
    <w:rsid w:val="002D3765"/>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2D3765"/>
    <w:rPr>
      <w:b/>
      <w:bCs/>
    </w:rPr>
  </w:style>
  <w:style w:type="character" w:customStyle="1" w:styleId="header-title">
    <w:name w:val="header-title"/>
    <w:basedOn w:val="Fuentedeprrafopredeter"/>
    <w:rsid w:val="002D3765"/>
  </w:style>
  <w:style w:type="character" w:styleId="nfasis">
    <w:name w:val="Emphasis"/>
    <w:basedOn w:val="Fuentedeprrafopredeter"/>
    <w:uiPriority w:val="20"/>
    <w:qFormat/>
    <w:rsid w:val="009976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573">
      <w:bodyDiv w:val="1"/>
      <w:marLeft w:val="0"/>
      <w:marRight w:val="0"/>
      <w:marTop w:val="0"/>
      <w:marBottom w:val="0"/>
      <w:divBdr>
        <w:top w:val="none" w:sz="0" w:space="0" w:color="auto"/>
        <w:left w:val="none" w:sz="0" w:space="0" w:color="auto"/>
        <w:bottom w:val="none" w:sz="0" w:space="0" w:color="auto"/>
        <w:right w:val="none" w:sz="0" w:space="0" w:color="auto"/>
      </w:divBdr>
    </w:div>
    <w:div w:id="111247033">
      <w:bodyDiv w:val="1"/>
      <w:marLeft w:val="0"/>
      <w:marRight w:val="0"/>
      <w:marTop w:val="0"/>
      <w:marBottom w:val="0"/>
      <w:divBdr>
        <w:top w:val="none" w:sz="0" w:space="0" w:color="auto"/>
        <w:left w:val="none" w:sz="0" w:space="0" w:color="auto"/>
        <w:bottom w:val="none" w:sz="0" w:space="0" w:color="auto"/>
        <w:right w:val="none" w:sz="0" w:space="0" w:color="auto"/>
      </w:divBdr>
      <w:divsChild>
        <w:div w:id="341250517">
          <w:marLeft w:val="0"/>
          <w:marRight w:val="0"/>
          <w:marTop w:val="300"/>
          <w:marBottom w:val="600"/>
          <w:divBdr>
            <w:top w:val="none" w:sz="0" w:space="0" w:color="auto"/>
            <w:left w:val="none" w:sz="0" w:space="0" w:color="auto"/>
            <w:bottom w:val="none" w:sz="0" w:space="0" w:color="auto"/>
            <w:right w:val="none" w:sz="0" w:space="0" w:color="auto"/>
          </w:divBdr>
        </w:div>
        <w:div w:id="722412940">
          <w:marLeft w:val="0"/>
          <w:marRight w:val="0"/>
          <w:marTop w:val="0"/>
          <w:marBottom w:val="0"/>
          <w:divBdr>
            <w:top w:val="none" w:sz="0" w:space="0" w:color="auto"/>
            <w:left w:val="none" w:sz="0" w:space="0" w:color="auto"/>
            <w:bottom w:val="none" w:sz="0" w:space="0" w:color="auto"/>
            <w:right w:val="none" w:sz="0" w:space="0" w:color="auto"/>
          </w:divBdr>
          <w:divsChild>
            <w:div w:id="702099263">
              <w:marLeft w:val="0"/>
              <w:marRight w:val="0"/>
              <w:marTop w:val="0"/>
              <w:marBottom w:val="0"/>
              <w:divBdr>
                <w:top w:val="none" w:sz="0" w:space="0" w:color="auto"/>
                <w:left w:val="none" w:sz="0" w:space="0" w:color="auto"/>
                <w:bottom w:val="none" w:sz="0" w:space="0" w:color="auto"/>
                <w:right w:val="none" w:sz="0" w:space="0" w:color="auto"/>
              </w:divBdr>
              <w:divsChild>
                <w:div w:id="7020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0486">
      <w:bodyDiv w:val="1"/>
      <w:marLeft w:val="0"/>
      <w:marRight w:val="0"/>
      <w:marTop w:val="0"/>
      <w:marBottom w:val="0"/>
      <w:divBdr>
        <w:top w:val="none" w:sz="0" w:space="0" w:color="auto"/>
        <w:left w:val="none" w:sz="0" w:space="0" w:color="auto"/>
        <w:bottom w:val="none" w:sz="0" w:space="0" w:color="auto"/>
        <w:right w:val="none" w:sz="0" w:space="0" w:color="auto"/>
      </w:divBdr>
      <w:divsChild>
        <w:div w:id="2141679890">
          <w:marLeft w:val="0"/>
          <w:marRight w:val="0"/>
          <w:marTop w:val="300"/>
          <w:marBottom w:val="600"/>
          <w:divBdr>
            <w:top w:val="none" w:sz="0" w:space="0" w:color="auto"/>
            <w:left w:val="none" w:sz="0" w:space="0" w:color="auto"/>
            <w:bottom w:val="none" w:sz="0" w:space="0" w:color="auto"/>
            <w:right w:val="none" w:sz="0" w:space="0" w:color="auto"/>
          </w:divBdr>
        </w:div>
        <w:div w:id="433597353">
          <w:marLeft w:val="0"/>
          <w:marRight w:val="0"/>
          <w:marTop w:val="0"/>
          <w:marBottom w:val="0"/>
          <w:divBdr>
            <w:top w:val="none" w:sz="0" w:space="0" w:color="auto"/>
            <w:left w:val="none" w:sz="0" w:space="0" w:color="auto"/>
            <w:bottom w:val="none" w:sz="0" w:space="0" w:color="auto"/>
            <w:right w:val="none" w:sz="0" w:space="0" w:color="auto"/>
          </w:divBdr>
          <w:divsChild>
            <w:div w:id="891237994">
              <w:marLeft w:val="0"/>
              <w:marRight w:val="0"/>
              <w:marTop w:val="0"/>
              <w:marBottom w:val="0"/>
              <w:divBdr>
                <w:top w:val="none" w:sz="0" w:space="0" w:color="auto"/>
                <w:left w:val="none" w:sz="0" w:space="0" w:color="auto"/>
                <w:bottom w:val="none" w:sz="0" w:space="0" w:color="auto"/>
                <w:right w:val="none" w:sz="0" w:space="0" w:color="auto"/>
              </w:divBdr>
              <w:divsChild>
                <w:div w:id="16325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156608">
      <w:bodyDiv w:val="1"/>
      <w:marLeft w:val="0"/>
      <w:marRight w:val="0"/>
      <w:marTop w:val="0"/>
      <w:marBottom w:val="0"/>
      <w:divBdr>
        <w:top w:val="none" w:sz="0" w:space="0" w:color="auto"/>
        <w:left w:val="none" w:sz="0" w:space="0" w:color="auto"/>
        <w:bottom w:val="none" w:sz="0" w:space="0" w:color="auto"/>
        <w:right w:val="none" w:sz="0" w:space="0" w:color="auto"/>
      </w:divBdr>
    </w:div>
    <w:div w:id="550386732">
      <w:bodyDiv w:val="1"/>
      <w:marLeft w:val="0"/>
      <w:marRight w:val="0"/>
      <w:marTop w:val="0"/>
      <w:marBottom w:val="0"/>
      <w:divBdr>
        <w:top w:val="none" w:sz="0" w:space="0" w:color="auto"/>
        <w:left w:val="none" w:sz="0" w:space="0" w:color="auto"/>
        <w:bottom w:val="none" w:sz="0" w:space="0" w:color="auto"/>
        <w:right w:val="none" w:sz="0" w:space="0" w:color="auto"/>
      </w:divBdr>
    </w:div>
    <w:div w:id="1140269004">
      <w:bodyDiv w:val="1"/>
      <w:marLeft w:val="0"/>
      <w:marRight w:val="0"/>
      <w:marTop w:val="0"/>
      <w:marBottom w:val="0"/>
      <w:divBdr>
        <w:top w:val="none" w:sz="0" w:space="0" w:color="auto"/>
        <w:left w:val="none" w:sz="0" w:space="0" w:color="auto"/>
        <w:bottom w:val="none" w:sz="0" w:space="0" w:color="auto"/>
        <w:right w:val="none" w:sz="0" w:space="0" w:color="auto"/>
      </w:divBdr>
      <w:divsChild>
        <w:div w:id="538788400">
          <w:marLeft w:val="0"/>
          <w:marRight w:val="0"/>
          <w:marTop w:val="300"/>
          <w:marBottom w:val="600"/>
          <w:divBdr>
            <w:top w:val="none" w:sz="0" w:space="0" w:color="auto"/>
            <w:left w:val="none" w:sz="0" w:space="0" w:color="auto"/>
            <w:bottom w:val="none" w:sz="0" w:space="0" w:color="auto"/>
            <w:right w:val="none" w:sz="0" w:space="0" w:color="auto"/>
          </w:divBdr>
        </w:div>
        <w:div w:id="754590414">
          <w:marLeft w:val="0"/>
          <w:marRight w:val="0"/>
          <w:marTop w:val="0"/>
          <w:marBottom w:val="0"/>
          <w:divBdr>
            <w:top w:val="none" w:sz="0" w:space="0" w:color="auto"/>
            <w:left w:val="none" w:sz="0" w:space="0" w:color="auto"/>
            <w:bottom w:val="none" w:sz="0" w:space="0" w:color="auto"/>
            <w:right w:val="none" w:sz="0" w:space="0" w:color="auto"/>
          </w:divBdr>
          <w:divsChild>
            <w:div w:id="262691093">
              <w:marLeft w:val="0"/>
              <w:marRight w:val="0"/>
              <w:marTop w:val="0"/>
              <w:marBottom w:val="0"/>
              <w:divBdr>
                <w:top w:val="none" w:sz="0" w:space="0" w:color="auto"/>
                <w:left w:val="none" w:sz="0" w:space="0" w:color="auto"/>
                <w:bottom w:val="none" w:sz="0" w:space="0" w:color="auto"/>
                <w:right w:val="none" w:sz="0" w:space="0" w:color="auto"/>
              </w:divBdr>
              <w:divsChild>
                <w:div w:id="864367306">
                  <w:marLeft w:val="0"/>
                  <w:marRight w:val="0"/>
                  <w:marTop w:val="0"/>
                  <w:marBottom w:val="0"/>
                  <w:divBdr>
                    <w:top w:val="none" w:sz="0" w:space="0" w:color="auto"/>
                    <w:left w:val="none" w:sz="0" w:space="0" w:color="auto"/>
                    <w:bottom w:val="none" w:sz="0" w:space="0" w:color="auto"/>
                    <w:right w:val="none" w:sz="0" w:space="0" w:color="auto"/>
                  </w:divBdr>
                  <w:divsChild>
                    <w:div w:id="1402021425">
                      <w:marLeft w:val="0"/>
                      <w:marRight w:val="0"/>
                      <w:marTop w:val="0"/>
                      <w:marBottom w:val="0"/>
                      <w:divBdr>
                        <w:top w:val="none" w:sz="0" w:space="0" w:color="auto"/>
                        <w:left w:val="none" w:sz="0" w:space="0" w:color="auto"/>
                        <w:bottom w:val="none" w:sz="0" w:space="0" w:color="auto"/>
                        <w:right w:val="none" w:sz="0" w:space="0" w:color="auto"/>
                      </w:divBdr>
                      <w:divsChild>
                        <w:div w:id="984503349">
                          <w:marLeft w:val="0"/>
                          <w:marRight w:val="0"/>
                          <w:marTop w:val="0"/>
                          <w:marBottom w:val="0"/>
                          <w:divBdr>
                            <w:top w:val="none" w:sz="0" w:space="0" w:color="auto"/>
                            <w:left w:val="none" w:sz="0" w:space="0" w:color="auto"/>
                            <w:bottom w:val="none" w:sz="0" w:space="0" w:color="auto"/>
                            <w:right w:val="none" w:sz="0" w:space="0" w:color="auto"/>
                          </w:divBdr>
                        </w:div>
                        <w:div w:id="610941162">
                          <w:marLeft w:val="0"/>
                          <w:marRight w:val="0"/>
                          <w:marTop w:val="0"/>
                          <w:marBottom w:val="0"/>
                          <w:divBdr>
                            <w:top w:val="none" w:sz="0" w:space="0" w:color="auto"/>
                            <w:left w:val="none" w:sz="0" w:space="0" w:color="auto"/>
                            <w:bottom w:val="none" w:sz="0" w:space="0" w:color="auto"/>
                            <w:right w:val="none" w:sz="0" w:space="0" w:color="auto"/>
                          </w:divBdr>
                        </w:div>
                        <w:div w:id="256868288">
                          <w:marLeft w:val="0"/>
                          <w:marRight w:val="0"/>
                          <w:marTop w:val="0"/>
                          <w:marBottom w:val="0"/>
                          <w:divBdr>
                            <w:top w:val="none" w:sz="0" w:space="0" w:color="auto"/>
                            <w:left w:val="none" w:sz="0" w:space="0" w:color="auto"/>
                            <w:bottom w:val="none" w:sz="0" w:space="0" w:color="auto"/>
                            <w:right w:val="none" w:sz="0" w:space="0" w:color="auto"/>
                          </w:divBdr>
                        </w:div>
                        <w:div w:id="164521407">
                          <w:marLeft w:val="0"/>
                          <w:marRight w:val="0"/>
                          <w:marTop w:val="0"/>
                          <w:marBottom w:val="0"/>
                          <w:divBdr>
                            <w:top w:val="none" w:sz="0" w:space="0" w:color="auto"/>
                            <w:left w:val="none" w:sz="0" w:space="0" w:color="auto"/>
                            <w:bottom w:val="none" w:sz="0" w:space="0" w:color="auto"/>
                            <w:right w:val="none" w:sz="0" w:space="0" w:color="auto"/>
                          </w:divBdr>
                        </w:div>
                        <w:div w:id="2050061493">
                          <w:marLeft w:val="0"/>
                          <w:marRight w:val="0"/>
                          <w:marTop w:val="0"/>
                          <w:marBottom w:val="0"/>
                          <w:divBdr>
                            <w:top w:val="none" w:sz="0" w:space="0" w:color="auto"/>
                            <w:left w:val="none" w:sz="0" w:space="0" w:color="auto"/>
                            <w:bottom w:val="none" w:sz="0" w:space="0" w:color="auto"/>
                            <w:right w:val="none" w:sz="0" w:space="0" w:color="auto"/>
                          </w:divBdr>
                        </w:div>
                        <w:div w:id="1912546541">
                          <w:marLeft w:val="0"/>
                          <w:marRight w:val="0"/>
                          <w:marTop w:val="0"/>
                          <w:marBottom w:val="0"/>
                          <w:divBdr>
                            <w:top w:val="none" w:sz="0" w:space="0" w:color="auto"/>
                            <w:left w:val="none" w:sz="0" w:space="0" w:color="auto"/>
                            <w:bottom w:val="none" w:sz="0" w:space="0" w:color="auto"/>
                            <w:right w:val="none" w:sz="0" w:space="0" w:color="auto"/>
                          </w:divBdr>
                        </w:div>
                        <w:div w:id="464352636">
                          <w:marLeft w:val="0"/>
                          <w:marRight w:val="0"/>
                          <w:marTop w:val="0"/>
                          <w:marBottom w:val="0"/>
                          <w:divBdr>
                            <w:top w:val="none" w:sz="0" w:space="0" w:color="auto"/>
                            <w:left w:val="none" w:sz="0" w:space="0" w:color="auto"/>
                            <w:bottom w:val="none" w:sz="0" w:space="0" w:color="auto"/>
                            <w:right w:val="none" w:sz="0" w:space="0" w:color="auto"/>
                          </w:divBdr>
                        </w:div>
                        <w:div w:id="1140726049">
                          <w:marLeft w:val="0"/>
                          <w:marRight w:val="0"/>
                          <w:marTop w:val="0"/>
                          <w:marBottom w:val="0"/>
                          <w:divBdr>
                            <w:top w:val="none" w:sz="0" w:space="0" w:color="auto"/>
                            <w:left w:val="none" w:sz="0" w:space="0" w:color="auto"/>
                            <w:bottom w:val="none" w:sz="0" w:space="0" w:color="auto"/>
                            <w:right w:val="none" w:sz="0" w:space="0" w:color="auto"/>
                          </w:divBdr>
                        </w:div>
                        <w:div w:id="215774935">
                          <w:marLeft w:val="0"/>
                          <w:marRight w:val="0"/>
                          <w:marTop w:val="0"/>
                          <w:marBottom w:val="0"/>
                          <w:divBdr>
                            <w:top w:val="none" w:sz="0" w:space="0" w:color="auto"/>
                            <w:left w:val="none" w:sz="0" w:space="0" w:color="auto"/>
                            <w:bottom w:val="none" w:sz="0" w:space="0" w:color="auto"/>
                            <w:right w:val="none" w:sz="0" w:space="0" w:color="auto"/>
                          </w:divBdr>
                        </w:div>
                        <w:div w:id="973022664">
                          <w:marLeft w:val="0"/>
                          <w:marRight w:val="0"/>
                          <w:marTop w:val="0"/>
                          <w:marBottom w:val="0"/>
                          <w:divBdr>
                            <w:top w:val="none" w:sz="0" w:space="0" w:color="auto"/>
                            <w:left w:val="none" w:sz="0" w:space="0" w:color="auto"/>
                            <w:bottom w:val="none" w:sz="0" w:space="0" w:color="auto"/>
                            <w:right w:val="none" w:sz="0" w:space="0" w:color="auto"/>
                          </w:divBdr>
                        </w:div>
                        <w:div w:id="2008558838">
                          <w:marLeft w:val="0"/>
                          <w:marRight w:val="0"/>
                          <w:marTop w:val="0"/>
                          <w:marBottom w:val="0"/>
                          <w:divBdr>
                            <w:top w:val="none" w:sz="0" w:space="0" w:color="auto"/>
                            <w:left w:val="none" w:sz="0" w:space="0" w:color="auto"/>
                            <w:bottom w:val="none" w:sz="0" w:space="0" w:color="auto"/>
                            <w:right w:val="none" w:sz="0" w:space="0" w:color="auto"/>
                          </w:divBdr>
                        </w:div>
                        <w:div w:id="17021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94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81C0264B8044983D4D78886BCBA71" ma:contentTypeVersion="4" ma:contentTypeDescription="Create a new document." ma:contentTypeScope="" ma:versionID="323519d2bc65f484be6a4f16a245b0e3">
  <xsd:schema xmlns:xsd="http://www.w3.org/2001/XMLSchema" xmlns:xs="http://www.w3.org/2001/XMLSchema" xmlns:p="http://schemas.microsoft.com/office/2006/metadata/properties" xmlns:ns1="http://schemas.microsoft.com/sharepoint/v3" xmlns:ns2="2527769d-9d09-4668-95f1-a7f37efe50c6" targetNamespace="http://schemas.microsoft.com/office/2006/metadata/properties" ma:root="true" ma:fieldsID="e19f4e529cecf0f623cb95ac66740e17" ns1:_="" ns2:_="">
    <xsd:import namespace="http://schemas.microsoft.com/sharepoint/v3"/>
    <xsd:import namespace="2527769d-9d09-4668-95f1-a7f37efe50c6"/>
    <xsd:element name="properties">
      <xsd:complexType>
        <xsd:sequence>
          <xsd:element name="documentManagement">
            <xsd:complexType>
              <xsd:all>
                <xsd:element ref="ns1:PublishingStartDate" minOccurs="0"/>
                <xsd:element ref="ns1:PublishingExpirationDate" minOccurs="0"/>
                <xsd:element ref="ns2:Fecha" minOccurs="0"/>
                <xsd:element ref="ns2:r5zb" minOccurs="0"/>
                <xsd:element ref="ns2:F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7769d-9d09-4668-95f1-a7f37efe50c6" elementFormDefault="qualified">
    <xsd:import namespace="http://schemas.microsoft.com/office/2006/documentManagement/types"/>
    <xsd:import namespace="http://schemas.microsoft.com/office/infopath/2007/PartnerControls"/>
    <xsd:element name="Fecha" ma:index="10" nillable="true" ma:displayName="Fecha" ma:format="DateTime" ma:internalName="Fecha">
      <xsd:simpleType>
        <xsd:restriction base="dms:DateTime"/>
      </xsd:simpleType>
    </xsd:element>
    <xsd:element name="r5zb" ma:index="11" nillable="true" ma:displayName="Fecha y hora" ma:internalName="r5zb">
      <xsd:simpleType>
        <xsd:restriction base="dms:DateTime"/>
      </xsd:simpleType>
    </xsd:element>
    <xsd:element name="Fec" ma:index="12" nillable="true" ma:displayName="Fec" ma:format="DateOnly" ma:internalName="Fec">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echa xmlns="2527769d-9d09-4668-95f1-a7f37efe50c6" xsi:nil="true"/>
    <Fec xmlns="2527769d-9d09-4668-95f1-a7f37efe50c6" xsi:nil="true"/>
    <r5zb xmlns="2527769d-9d09-4668-95f1-a7f37efe50c6" xsi:nil="true"/>
  </documentManagement>
</p:properties>
</file>

<file path=customXml/itemProps1.xml><?xml version="1.0" encoding="utf-8"?>
<ds:datastoreItem xmlns:ds="http://schemas.openxmlformats.org/officeDocument/2006/customXml" ds:itemID="{D370A9C4-9E15-4FBD-870D-F5892E8D3F0B}"/>
</file>

<file path=customXml/itemProps2.xml><?xml version="1.0" encoding="utf-8"?>
<ds:datastoreItem xmlns:ds="http://schemas.openxmlformats.org/officeDocument/2006/customXml" ds:itemID="{4089D358-4652-4282-8D24-42C319391F1E}"/>
</file>

<file path=customXml/itemProps3.xml><?xml version="1.0" encoding="utf-8"?>
<ds:datastoreItem xmlns:ds="http://schemas.openxmlformats.org/officeDocument/2006/customXml" ds:itemID="{7C064CF0-B8DD-4A29-A43B-9D836AF6A2FF}"/>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5076</Characters>
  <Application>Microsoft Office Word</Application>
  <DocSecurity>4</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 velasquez</dc:creator>
  <cp:keywords/>
  <dc:description/>
  <cp:lastModifiedBy>Miguel Antonio Gonzalez Pinzon</cp:lastModifiedBy>
  <cp:revision>2</cp:revision>
  <dcterms:created xsi:type="dcterms:W3CDTF">2023-08-10T14:25:00Z</dcterms:created>
  <dcterms:modified xsi:type="dcterms:W3CDTF">2023-08-10T14:25:00Z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0x01010011B81C0264B8044983D4D78886BCBA71</vt:lpwstr>
  </property>
</Properties>
</file>